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19BCA" w14:textId="5BC73B67" w:rsidR="00CC6E7E" w:rsidRPr="00D470FE" w:rsidRDefault="005A6B32" w:rsidP="0004339D">
      <w:pPr>
        <w:pStyle w:val="Agcovertitle"/>
      </w:pPr>
      <w:r w:rsidRPr="005A6B32">
        <w:rPr>
          <w:lang w:val="en-US"/>
        </w:rPr>
        <w:t>Deploying real-time sensors to meet Summerfruit export requirements</w:t>
      </w:r>
      <w:r w:rsidR="00CC6E7E" w:rsidRPr="00D470FE">
        <w:drawing>
          <wp:anchor distT="0" distB="0" distL="114300" distR="114300" simplePos="0" relativeHeight="251663360" behindDoc="1" locked="0" layoutInCell="1" allowOverlap="1" wp14:anchorId="4C1CA007" wp14:editId="04939B4D">
            <wp:simplePos x="0" y="0"/>
            <wp:positionH relativeFrom="page">
              <wp:posOffset>7687945</wp:posOffset>
            </wp:positionH>
            <wp:positionV relativeFrom="page">
              <wp:posOffset>0</wp:posOffset>
            </wp:positionV>
            <wp:extent cx="7609840" cy="10765155"/>
            <wp:effectExtent l="0" t="0" r="0" b="0"/>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p>
    <w:p w14:paraId="7CF28561" w14:textId="2FABE56A" w:rsidR="00253B42" w:rsidRDefault="00700AB4" w:rsidP="00246C16">
      <w:pPr>
        <w:pStyle w:val="Agbodytext"/>
        <w:spacing w:line="400" w:lineRule="atLeast"/>
        <w:jc w:val="right"/>
        <w:rPr>
          <w:color w:val="FFFFFF" w:themeColor="background1"/>
          <w:sz w:val="32"/>
          <w:szCs w:val="32"/>
          <w:lang w:val="en-AU" w:eastAsia="en-AU"/>
        </w:rPr>
      </w:pPr>
      <w:bookmarkStart w:id="0" w:name="_Hlk69823955"/>
      <w:r>
        <w:rPr>
          <w:color w:val="FFFFFF" w:themeColor="background1"/>
          <w:sz w:val="32"/>
          <w:szCs w:val="32"/>
          <w:lang w:val="en-AU" w:eastAsia="en-AU"/>
        </w:rPr>
        <w:t>T</w:t>
      </w:r>
      <w:r w:rsidR="0085347A">
        <w:rPr>
          <w:color w:val="FFFFFF" w:themeColor="background1"/>
          <w:sz w:val="32"/>
          <w:szCs w:val="32"/>
          <w:lang w:val="en-AU" w:eastAsia="en-AU"/>
        </w:rPr>
        <w:t>echnical</w:t>
      </w:r>
      <w:r w:rsidR="0085347A" w:rsidRPr="00246C16">
        <w:rPr>
          <w:color w:val="FFFFFF" w:themeColor="background1"/>
          <w:sz w:val="32"/>
          <w:szCs w:val="32"/>
          <w:lang w:val="en-AU" w:eastAsia="en-AU"/>
        </w:rPr>
        <w:t xml:space="preserve"> </w:t>
      </w:r>
      <w:r>
        <w:rPr>
          <w:color w:val="FFFFFF" w:themeColor="background1"/>
          <w:sz w:val="32"/>
          <w:szCs w:val="32"/>
          <w:lang w:val="en-AU" w:eastAsia="en-AU"/>
        </w:rPr>
        <w:t>R</w:t>
      </w:r>
      <w:r w:rsidR="0085347A" w:rsidRPr="00246C16">
        <w:rPr>
          <w:color w:val="FFFFFF" w:themeColor="background1"/>
          <w:sz w:val="32"/>
          <w:szCs w:val="32"/>
          <w:lang w:val="en-AU" w:eastAsia="en-AU"/>
        </w:rPr>
        <w:t>eport</w:t>
      </w:r>
      <w:r w:rsidR="00EB520C">
        <w:rPr>
          <w:color w:val="FFFFFF" w:themeColor="background1"/>
          <w:sz w:val="32"/>
          <w:szCs w:val="32"/>
          <w:lang w:val="en-AU" w:eastAsia="en-AU"/>
        </w:rPr>
        <w:t xml:space="preserve">: </w:t>
      </w:r>
      <w:r w:rsidR="00253B42">
        <w:rPr>
          <w:color w:val="FFFFFF" w:themeColor="background1"/>
          <w:sz w:val="32"/>
          <w:szCs w:val="32"/>
          <w:lang w:val="en-AU" w:eastAsia="en-AU"/>
        </w:rPr>
        <w:t>F</w:t>
      </w:r>
      <w:r w:rsidR="005A6B32" w:rsidRPr="005A6B32">
        <w:rPr>
          <w:color w:val="FFFFFF" w:themeColor="background1"/>
          <w:sz w:val="32"/>
          <w:szCs w:val="32"/>
          <w:lang w:val="en-AU" w:eastAsia="en-AU"/>
        </w:rPr>
        <w:t>ield testing the accuracy of</w:t>
      </w:r>
    </w:p>
    <w:p w14:paraId="2932BEA9" w14:textId="77777777" w:rsidR="00253B42" w:rsidRDefault="005A6B32" w:rsidP="00253B42">
      <w:pPr>
        <w:pStyle w:val="Agbodytext"/>
        <w:spacing w:line="400" w:lineRule="atLeast"/>
        <w:jc w:val="right"/>
        <w:rPr>
          <w:color w:val="FFFFFF" w:themeColor="background1"/>
          <w:sz w:val="32"/>
          <w:szCs w:val="32"/>
          <w:lang w:val="en-AU" w:eastAsia="en-AU"/>
        </w:rPr>
      </w:pPr>
      <w:r w:rsidRPr="005A6B32">
        <w:rPr>
          <w:color w:val="FFFFFF" w:themeColor="background1"/>
          <w:sz w:val="32"/>
          <w:szCs w:val="32"/>
          <w:lang w:val="en-AU" w:eastAsia="en-AU"/>
        </w:rPr>
        <w:t xml:space="preserve"> the Rubens Technologies handheld colourimeter</w:t>
      </w:r>
    </w:p>
    <w:p w14:paraId="2F8AE68E" w14:textId="5A4F0701" w:rsidR="00CC6E7E" w:rsidRDefault="005A6B32" w:rsidP="00253B42">
      <w:pPr>
        <w:pStyle w:val="Agbodytext"/>
        <w:spacing w:line="400" w:lineRule="atLeast"/>
        <w:jc w:val="right"/>
        <w:rPr>
          <w:color w:val="FFFFFF" w:themeColor="background1"/>
          <w:sz w:val="32"/>
          <w:szCs w:val="32"/>
          <w:lang w:val="en-AU" w:eastAsia="en-AU"/>
        </w:rPr>
      </w:pPr>
      <w:r w:rsidRPr="005A6B32">
        <w:rPr>
          <w:color w:val="FFFFFF" w:themeColor="background1"/>
          <w:sz w:val="32"/>
          <w:szCs w:val="32"/>
          <w:lang w:val="en-AU" w:eastAsia="en-AU"/>
        </w:rPr>
        <w:t xml:space="preserve"> against </w:t>
      </w:r>
      <w:r w:rsidR="00253B42">
        <w:rPr>
          <w:color w:val="FFFFFF" w:themeColor="background1"/>
          <w:sz w:val="32"/>
          <w:szCs w:val="32"/>
          <w:lang w:val="en-AU" w:eastAsia="en-AU"/>
        </w:rPr>
        <w:t xml:space="preserve">the </w:t>
      </w:r>
      <w:r w:rsidRPr="005A6B32">
        <w:rPr>
          <w:color w:val="FFFFFF" w:themeColor="background1"/>
          <w:sz w:val="32"/>
          <w:szCs w:val="32"/>
          <w:lang w:val="en-AU" w:eastAsia="en-AU"/>
        </w:rPr>
        <w:t>Minolta spectrophotometer</w:t>
      </w:r>
      <w:bookmarkEnd w:id="0"/>
    </w:p>
    <w:p w14:paraId="1F39C4D4" w14:textId="0640B69C" w:rsidR="0045074D" w:rsidRDefault="0045074D" w:rsidP="00246C16">
      <w:pPr>
        <w:pStyle w:val="Agbodytext"/>
        <w:spacing w:line="400" w:lineRule="atLeast"/>
        <w:jc w:val="right"/>
        <w:rPr>
          <w:color w:val="FFFFFF" w:themeColor="background1"/>
          <w:sz w:val="32"/>
          <w:szCs w:val="32"/>
        </w:rPr>
      </w:pPr>
    </w:p>
    <w:p w14:paraId="7BAA3DFC" w14:textId="09F8CDD3" w:rsidR="0045074D" w:rsidRDefault="0045074D" w:rsidP="00246C16">
      <w:pPr>
        <w:pStyle w:val="Agbodytext"/>
        <w:spacing w:line="400" w:lineRule="atLeast"/>
        <w:jc w:val="right"/>
        <w:rPr>
          <w:color w:val="FFFFFF" w:themeColor="background1"/>
          <w:sz w:val="32"/>
          <w:szCs w:val="32"/>
        </w:rPr>
      </w:pPr>
      <w:r>
        <w:rPr>
          <w:color w:val="FFFFFF" w:themeColor="background1"/>
          <w:sz w:val="32"/>
          <w:szCs w:val="32"/>
        </w:rPr>
        <w:t>Agriculture Victoria Research</w:t>
      </w:r>
    </w:p>
    <w:p w14:paraId="28FCDE89" w14:textId="0B406F6B" w:rsidR="0045074D" w:rsidRPr="00246C16" w:rsidRDefault="005A6B32" w:rsidP="00246C16">
      <w:pPr>
        <w:pStyle w:val="Agbodytext"/>
        <w:spacing w:line="400" w:lineRule="atLeast"/>
        <w:jc w:val="right"/>
        <w:rPr>
          <w:color w:val="FFFFFF" w:themeColor="background1"/>
          <w:sz w:val="32"/>
          <w:szCs w:val="32"/>
        </w:rPr>
      </w:pPr>
      <w:r>
        <w:rPr>
          <w:color w:val="FFFFFF" w:themeColor="background1"/>
          <w:sz w:val="32"/>
          <w:szCs w:val="32"/>
        </w:rPr>
        <w:t>April</w:t>
      </w:r>
      <w:r w:rsidR="0045074D">
        <w:rPr>
          <w:color w:val="FFFFFF" w:themeColor="background1"/>
          <w:sz w:val="32"/>
          <w:szCs w:val="32"/>
        </w:rPr>
        <w:t>/</w:t>
      </w:r>
      <w:r>
        <w:rPr>
          <w:color w:val="FFFFFF" w:themeColor="background1"/>
          <w:sz w:val="32"/>
          <w:szCs w:val="32"/>
        </w:rPr>
        <w:t>2021</w:t>
      </w:r>
    </w:p>
    <w:p w14:paraId="7EBBA5AE" w14:textId="0F15E0D0" w:rsidR="00CC6E7E" w:rsidRPr="00AD6EB0" w:rsidRDefault="00CC6E7E" w:rsidP="00652BDD">
      <w:pPr>
        <w:pStyle w:val="authorisedby"/>
        <w:sectPr w:rsidR="00CC6E7E" w:rsidRPr="00AD6EB0" w:rsidSect="00397B9B">
          <w:headerReference w:type="even" r:id="rId12"/>
          <w:headerReference w:type="default" r:id="rId13"/>
          <w:footerReference w:type="even" r:id="rId14"/>
          <w:footerReference w:type="default" r:id="rId15"/>
          <w:headerReference w:type="first" r:id="rId16"/>
          <w:footerReference w:type="first" r:id="rId17"/>
          <w:pgSz w:w="11900" w:h="16840"/>
          <w:pgMar w:top="3686" w:right="709" w:bottom="1701" w:left="709" w:header="709" w:footer="709" w:gutter="0"/>
          <w:cols w:space="708"/>
          <w:docGrid w:linePitch="360"/>
        </w:sectPr>
      </w:pPr>
      <w:r>
        <w:br w:type="page"/>
      </w:r>
    </w:p>
    <w:p w14:paraId="4039A707" w14:textId="5A27B8CF" w:rsidR="00246C16" w:rsidRDefault="00246C16" w:rsidP="00E32351">
      <w:pPr>
        <w:spacing w:line="240" w:lineRule="atLeast"/>
      </w:pPr>
    </w:p>
    <w:p w14:paraId="40E9C054" w14:textId="62843C44" w:rsidR="00B06D9D" w:rsidRDefault="00B06D9D" w:rsidP="00E32351">
      <w:pPr>
        <w:spacing w:line="240" w:lineRule="atLeast"/>
      </w:pPr>
    </w:p>
    <w:p w14:paraId="0608F02C" w14:textId="1FF277F1" w:rsidR="00B06D9D" w:rsidRDefault="00B06D9D" w:rsidP="00E32351">
      <w:pPr>
        <w:spacing w:line="240" w:lineRule="atLeast"/>
      </w:pPr>
    </w:p>
    <w:p w14:paraId="33F0159E" w14:textId="77777777" w:rsidR="00B06D9D" w:rsidRDefault="00B06D9D" w:rsidP="00E32351">
      <w:pPr>
        <w:spacing w:line="240" w:lineRule="atLeast"/>
      </w:pPr>
    </w:p>
    <w:p w14:paraId="7EC97C66" w14:textId="77777777" w:rsidR="00246C16" w:rsidRDefault="00246C16" w:rsidP="00E32351">
      <w:pPr>
        <w:spacing w:line="240" w:lineRule="atLeast"/>
      </w:pPr>
    </w:p>
    <w:p w14:paraId="12B6527D" w14:textId="77777777" w:rsidR="00246C16" w:rsidRDefault="00246C16" w:rsidP="00E32351">
      <w:pPr>
        <w:spacing w:line="240" w:lineRule="atLeast"/>
      </w:pPr>
    </w:p>
    <w:p w14:paraId="3E3135FA" w14:textId="77777777" w:rsidR="00246C16" w:rsidRDefault="00246C16" w:rsidP="00E32351">
      <w:pPr>
        <w:spacing w:line="240" w:lineRule="atLeast"/>
      </w:pPr>
    </w:p>
    <w:p w14:paraId="00F08BAB" w14:textId="77777777" w:rsidR="00246C16" w:rsidRDefault="00246C16" w:rsidP="00E32351">
      <w:pPr>
        <w:spacing w:line="240" w:lineRule="atLeast"/>
      </w:pPr>
    </w:p>
    <w:p w14:paraId="272ADC6A" w14:textId="77777777" w:rsidR="00246C16" w:rsidRDefault="00246C16" w:rsidP="00E32351">
      <w:pPr>
        <w:spacing w:line="240" w:lineRule="atLeast"/>
      </w:pPr>
    </w:p>
    <w:p w14:paraId="32569851" w14:textId="77777777" w:rsidR="00246C16" w:rsidRDefault="00246C16" w:rsidP="00E32351">
      <w:pPr>
        <w:spacing w:line="240" w:lineRule="atLeast"/>
      </w:pPr>
    </w:p>
    <w:p w14:paraId="3F1E172E" w14:textId="77777777" w:rsidR="00246C16" w:rsidRDefault="00246C16" w:rsidP="00E32351">
      <w:pPr>
        <w:spacing w:line="240" w:lineRule="atLeast"/>
      </w:pPr>
    </w:p>
    <w:p w14:paraId="006C274E" w14:textId="77777777" w:rsidR="00246C16" w:rsidRDefault="00246C16" w:rsidP="00E32351">
      <w:pPr>
        <w:spacing w:line="240" w:lineRule="atLeast"/>
      </w:pPr>
    </w:p>
    <w:p w14:paraId="502C8033" w14:textId="77777777" w:rsidR="00246C16" w:rsidRDefault="00246C16" w:rsidP="00E32351">
      <w:pPr>
        <w:spacing w:line="240" w:lineRule="atLeast"/>
      </w:pPr>
    </w:p>
    <w:p w14:paraId="563F0C74" w14:textId="77777777" w:rsidR="00246C16" w:rsidRDefault="00246C16" w:rsidP="00E32351">
      <w:pPr>
        <w:spacing w:line="240" w:lineRule="atLeast"/>
      </w:pPr>
    </w:p>
    <w:p w14:paraId="7DD75925" w14:textId="2BAA35D7" w:rsidR="00246C16" w:rsidRPr="007E709F" w:rsidRDefault="00246C16" w:rsidP="00E32351">
      <w:pPr>
        <w:spacing w:line="240" w:lineRule="atLeast"/>
        <w:rPr>
          <w:color w:val="FF0000"/>
          <w:szCs w:val="20"/>
        </w:rPr>
      </w:pPr>
      <w:r w:rsidRPr="007E709F">
        <w:rPr>
          <w:szCs w:val="20"/>
        </w:rPr>
        <w:t xml:space="preserve">Author: </w:t>
      </w:r>
      <w:r w:rsidR="00FA7A6C">
        <w:rPr>
          <w:szCs w:val="20"/>
        </w:rPr>
        <w:t xml:space="preserve">Dr </w:t>
      </w:r>
      <w:r w:rsidR="00253B42">
        <w:rPr>
          <w:szCs w:val="20"/>
        </w:rPr>
        <w:t xml:space="preserve">Alessio </w:t>
      </w:r>
      <w:proofErr w:type="spellStart"/>
      <w:r w:rsidR="00253B42">
        <w:rPr>
          <w:szCs w:val="20"/>
        </w:rPr>
        <w:t>Scalissi</w:t>
      </w:r>
      <w:proofErr w:type="spellEnd"/>
    </w:p>
    <w:p w14:paraId="4983E24B" w14:textId="77777777" w:rsidR="00246C16" w:rsidRPr="00CE6B4A" w:rsidRDefault="00246C16" w:rsidP="00E32351">
      <w:pPr>
        <w:spacing w:line="240" w:lineRule="atLeast"/>
        <w:rPr>
          <w:szCs w:val="20"/>
        </w:rPr>
      </w:pPr>
    </w:p>
    <w:p w14:paraId="638D28D7" w14:textId="77777777" w:rsidR="00246C16" w:rsidRPr="00CE6B4A" w:rsidRDefault="00246C16" w:rsidP="00E32351">
      <w:pPr>
        <w:spacing w:line="240" w:lineRule="atLeast"/>
        <w:rPr>
          <w:szCs w:val="20"/>
        </w:rPr>
      </w:pPr>
    </w:p>
    <w:p w14:paraId="3964B8E4" w14:textId="10B9E844" w:rsidR="00246C16" w:rsidRPr="00937855" w:rsidRDefault="007E709F" w:rsidP="00E32351">
      <w:pPr>
        <w:spacing w:line="240" w:lineRule="atLeast"/>
        <w:rPr>
          <w:i/>
          <w:color w:val="FF0000"/>
          <w:szCs w:val="20"/>
        </w:rPr>
      </w:pPr>
      <w:r>
        <w:rPr>
          <w:szCs w:val="20"/>
        </w:rPr>
        <w:t xml:space="preserve">Project RDC Number: </w:t>
      </w:r>
      <w:r w:rsidR="00253B42" w:rsidRPr="00253B42">
        <w:rPr>
          <w:szCs w:val="20"/>
        </w:rPr>
        <w:t>FA042</w:t>
      </w:r>
    </w:p>
    <w:p w14:paraId="6815D52C" w14:textId="454EC4B6" w:rsidR="00246C16" w:rsidRPr="00CE6B4A" w:rsidRDefault="00246C16" w:rsidP="00E32351">
      <w:pPr>
        <w:spacing w:line="240" w:lineRule="atLeast"/>
        <w:rPr>
          <w:szCs w:val="20"/>
        </w:rPr>
      </w:pPr>
      <w:r w:rsidRPr="00CE6B4A">
        <w:rPr>
          <w:szCs w:val="20"/>
        </w:rPr>
        <w:t xml:space="preserve">Project CMI </w:t>
      </w:r>
      <w:r w:rsidRPr="00FA7A6C">
        <w:rPr>
          <w:color w:val="auto"/>
          <w:szCs w:val="20"/>
        </w:rPr>
        <w:t xml:space="preserve">Number: </w:t>
      </w:r>
      <w:r w:rsidR="00253B42" w:rsidRPr="00FA7A6C">
        <w:rPr>
          <w:color w:val="auto"/>
          <w:szCs w:val="20"/>
        </w:rPr>
        <w:t>106243</w:t>
      </w:r>
    </w:p>
    <w:p w14:paraId="289FEABA" w14:textId="77777777" w:rsidR="00246C16" w:rsidRPr="00CE6B4A" w:rsidRDefault="00246C16" w:rsidP="00E32351">
      <w:pPr>
        <w:pStyle w:val="authorisedby"/>
        <w:spacing w:line="240" w:lineRule="atLeast"/>
        <w:rPr>
          <w:rStyle w:val="contentfiguresheadingChar"/>
          <w:rFonts w:eastAsiaTheme="minorHAnsi"/>
          <w:b w:val="0"/>
          <w:caps w:val="0"/>
          <w:sz w:val="20"/>
          <w:szCs w:val="20"/>
        </w:rPr>
      </w:pPr>
    </w:p>
    <w:p w14:paraId="19FCB112" w14:textId="77777777" w:rsidR="00246C16" w:rsidRPr="00CE6B4A" w:rsidRDefault="00246C16" w:rsidP="00E32351">
      <w:pPr>
        <w:pStyle w:val="authorisedby"/>
        <w:spacing w:line="240" w:lineRule="atLeast"/>
        <w:rPr>
          <w:rStyle w:val="contentfiguresheadingChar"/>
          <w:rFonts w:eastAsiaTheme="minorHAnsi"/>
          <w:b w:val="0"/>
          <w:caps w:val="0"/>
          <w:sz w:val="20"/>
          <w:szCs w:val="20"/>
        </w:rPr>
      </w:pPr>
    </w:p>
    <w:p w14:paraId="0E21CEAB" w14:textId="77777777" w:rsidR="00246C16" w:rsidRPr="00CE6B4A" w:rsidRDefault="00246C16" w:rsidP="00E32351">
      <w:pPr>
        <w:pStyle w:val="authorisedby"/>
        <w:spacing w:line="240" w:lineRule="atLeast"/>
        <w:rPr>
          <w:rStyle w:val="contentfiguresheadingChar"/>
          <w:rFonts w:eastAsiaTheme="minorHAnsi"/>
          <w:b w:val="0"/>
          <w:caps w:val="0"/>
          <w:sz w:val="20"/>
          <w:szCs w:val="20"/>
        </w:rPr>
      </w:pPr>
    </w:p>
    <w:p w14:paraId="42022267" w14:textId="3EAFEA3D" w:rsidR="00246C16" w:rsidRPr="00164461" w:rsidRDefault="00246C16" w:rsidP="00E32351">
      <w:pPr>
        <w:pStyle w:val="authorisedby"/>
        <w:spacing w:line="240" w:lineRule="atLeast"/>
      </w:pPr>
      <w:r w:rsidRPr="00B33D08">
        <w:t xml:space="preserve">Department of </w:t>
      </w:r>
      <w:r w:rsidR="000910BD" w:rsidRPr="00B33D08">
        <w:t xml:space="preserve">Jobs, </w:t>
      </w:r>
      <w:r w:rsidR="000910BD">
        <w:t>Precincts and Regions</w:t>
      </w:r>
      <w:r w:rsidRPr="00164461">
        <w:br/>
        <w:t>1 Spring Street Melbourne Victor</w:t>
      </w:r>
      <w:r>
        <w:t>ia 3000</w:t>
      </w:r>
      <w:r>
        <w:br/>
      </w:r>
      <w:r w:rsidRPr="000D6F1D">
        <w:t>Telephone (03) 9651 9999</w:t>
      </w:r>
    </w:p>
    <w:p w14:paraId="66EEB0AB" w14:textId="65AFB9E0" w:rsidR="00246C16" w:rsidRPr="00164461" w:rsidRDefault="00246C16" w:rsidP="00E32351">
      <w:pPr>
        <w:pStyle w:val="authorisedby"/>
        <w:spacing w:line="240" w:lineRule="atLeast"/>
      </w:pPr>
      <w:r w:rsidRPr="00164461">
        <w:t xml:space="preserve">© Copyright State of Victoria, </w:t>
      </w:r>
      <w:r w:rsidRPr="00164461">
        <w:br/>
      </w:r>
      <w:r w:rsidRPr="00B33D08">
        <w:t xml:space="preserve">Department of </w:t>
      </w:r>
      <w:r w:rsidR="000910BD" w:rsidRPr="00B33D08">
        <w:t xml:space="preserve">Jobs, </w:t>
      </w:r>
      <w:r w:rsidR="000910BD">
        <w:t>Precincts and Regions</w:t>
      </w:r>
    </w:p>
    <w:p w14:paraId="3E24102F" w14:textId="48DE6715" w:rsidR="00246C16" w:rsidRDefault="006103C1" w:rsidP="00E32351">
      <w:pPr>
        <w:pStyle w:val="authorisedby"/>
        <w:spacing w:line="240" w:lineRule="atLeast"/>
        <w:rPr>
          <w:rStyle w:val="Emphasis"/>
          <w:rFonts w:ascii="VIC-Regular" w:hAnsi="VIC-Regular" w:cs="Arial"/>
          <w:lang w:val="en"/>
        </w:rPr>
      </w:pPr>
      <w:r>
        <w:rPr>
          <w:rStyle w:val="Emphasis"/>
          <w:rFonts w:ascii="VIC-Regular" w:hAnsi="VIC-Regular" w:cs="Arial"/>
          <w:lang w:val="en"/>
        </w:rPr>
        <w:t xml:space="preserve">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w:t>
      </w:r>
      <w:proofErr w:type="spellStart"/>
      <w:r>
        <w:rPr>
          <w:rStyle w:val="Emphasis"/>
          <w:rFonts w:ascii="VIC-Regular" w:hAnsi="VIC-Regular" w:cs="Arial"/>
          <w:lang w:val="en"/>
        </w:rPr>
        <w:t>endeavour</w:t>
      </w:r>
      <w:proofErr w:type="spellEnd"/>
      <w:r>
        <w:rPr>
          <w:rStyle w:val="Emphasis"/>
          <w:rFonts w:ascii="VIC-Regular" w:hAnsi="VIC-Regular" w:cs="Arial"/>
          <w:lang w:val="en"/>
        </w:rPr>
        <w:t xml:space="preserve"> to keep the content relevant and up to date and reserve the right to make changes as require. The Victorian Government, authors and presenters do not accept any liability to any person for the information (or the use of the information) which is provided or referred to in the report.</w:t>
      </w:r>
    </w:p>
    <w:p w14:paraId="17256680" w14:textId="77777777" w:rsidR="006103C1" w:rsidRDefault="006103C1" w:rsidP="00E32351">
      <w:pPr>
        <w:pStyle w:val="authorisedby"/>
        <w:spacing w:line="240" w:lineRule="atLeast"/>
        <w:rPr>
          <w:rStyle w:val="Emphasis"/>
          <w:rFonts w:ascii="VIC-Regular" w:hAnsi="VIC-Regular" w:cs="Arial"/>
          <w:lang w:val="en"/>
        </w:rPr>
      </w:pPr>
    </w:p>
    <w:p w14:paraId="10D9F620" w14:textId="7B98AEF4" w:rsidR="006103C1" w:rsidRPr="00A465E3" w:rsidRDefault="006103C1" w:rsidP="00E32351">
      <w:pPr>
        <w:pStyle w:val="authorisedby"/>
        <w:spacing w:line="240" w:lineRule="atLeast"/>
        <w:rPr>
          <w:rFonts w:ascii="Times New Roman" w:hAnsi="Times New Roman"/>
          <w:noProof/>
          <w:color w:val="FFFFFF"/>
          <w:lang w:eastAsia="en-AU"/>
        </w:rPr>
      </w:pPr>
      <w:r>
        <w:rPr>
          <w:rStyle w:val="Emphasis"/>
          <w:rFonts w:ascii="VIC-Regular" w:hAnsi="VIC-Regular" w:cs="Arial"/>
          <w:lang w:val="en"/>
        </w:rPr>
        <w:t xml:space="preserve">Unless indicated otherwise, this work is made available under the terms of the Creative Commons Attribution 3.0 Australia </w:t>
      </w:r>
      <w:proofErr w:type="spellStart"/>
      <w:r>
        <w:rPr>
          <w:rStyle w:val="Emphasis"/>
          <w:rFonts w:ascii="VIC-Regular" w:hAnsi="VIC-Regular" w:cs="Arial"/>
          <w:lang w:val="en"/>
        </w:rPr>
        <w:t>licence</w:t>
      </w:r>
      <w:proofErr w:type="spellEnd"/>
      <w:r>
        <w:rPr>
          <w:rStyle w:val="Emphasis"/>
          <w:rFonts w:ascii="VIC-Regular" w:hAnsi="VIC-Regular" w:cs="Arial"/>
          <w:lang w:val="en"/>
        </w:rPr>
        <w:t xml:space="preserve">. To view a copy of this </w:t>
      </w:r>
      <w:proofErr w:type="spellStart"/>
      <w:r>
        <w:rPr>
          <w:rStyle w:val="Emphasis"/>
          <w:rFonts w:ascii="VIC-Regular" w:hAnsi="VIC-Regular" w:cs="Arial"/>
          <w:lang w:val="en"/>
        </w:rPr>
        <w:t>licence</w:t>
      </w:r>
      <w:proofErr w:type="spellEnd"/>
      <w:r>
        <w:rPr>
          <w:rStyle w:val="Emphasis"/>
          <w:rFonts w:ascii="VIC-Regular" w:hAnsi="VIC-Regular" w:cs="Arial"/>
          <w:lang w:val="en"/>
        </w:rPr>
        <w:t xml:space="preserve">, visit </w:t>
      </w:r>
      <w:hyperlink r:id="rId18" w:history="1">
        <w:r>
          <w:rPr>
            <w:rStyle w:val="Emphasis"/>
            <w:rFonts w:ascii="VIC-Regular" w:hAnsi="VIC-Regular" w:cs="Arial"/>
            <w:color w:val="004EA8"/>
            <w:u w:val="single"/>
            <w:lang w:val="en"/>
          </w:rPr>
          <w:t>creativecommons.org/licenses/by/3.0/au</w:t>
        </w:r>
      </w:hyperlink>
      <w:r>
        <w:rPr>
          <w:rStyle w:val="Emphasis"/>
          <w:rFonts w:ascii="VIC-Regular" w:hAnsi="VIC-Regular" w:cs="Arial"/>
          <w:lang w:val="en"/>
        </w:rPr>
        <w:t xml:space="preserve">. It is a condition of this Creative Commons Attribution 3.0 </w:t>
      </w:r>
      <w:proofErr w:type="spellStart"/>
      <w:r>
        <w:rPr>
          <w:rStyle w:val="Emphasis"/>
          <w:rFonts w:ascii="VIC-Regular" w:hAnsi="VIC-Regular" w:cs="Arial"/>
          <w:lang w:val="en"/>
        </w:rPr>
        <w:t>Licence</w:t>
      </w:r>
      <w:proofErr w:type="spellEnd"/>
      <w:r>
        <w:rPr>
          <w:rStyle w:val="Emphasis"/>
          <w:rFonts w:ascii="VIC-Regular" w:hAnsi="VIC-Regular" w:cs="Arial"/>
          <w:lang w:val="en"/>
        </w:rPr>
        <w:t xml:space="preserve"> that you must give credit to the original author who is the State of Victoria.</w:t>
      </w:r>
    </w:p>
    <w:p w14:paraId="72A90372" w14:textId="77777777" w:rsidR="00D12E27" w:rsidRDefault="00D12E27" w:rsidP="00E32351">
      <w:pPr>
        <w:spacing w:after="0" w:line="240" w:lineRule="atLeast"/>
        <w:rPr>
          <w:rFonts w:cs="Arial"/>
          <w:color w:val="4C7329"/>
          <w:sz w:val="32"/>
        </w:rPr>
      </w:pPr>
      <w:r>
        <w:br w:type="page"/>
      </w:r>
    </w:p>
    <w:p w14:paraId="088DBCA2" w14:textId="7B7FD8B1" w:rsidR="00246C16" w:rsidRPr="004D43DC" w:rsidRDefault="00246C16" w:rsidP="00E32351">
      <w:pPr>
        <w:pStyle w:val="Agcontentsheading"/>
        <w:spacing w:line="240" w:lineRule="atLeast"/>
      </w:pPr>
      <w:r w:rsidRPr="004D43DC">
        <w:lastRenderedPageBreak/>
        <w:t>Contents</w:t>
      </w:r>
    </w:p>
    <w:p w14:paraId="405C7D8B" w14:textId="293937CB" w:rsidR="00505548" w:rsidRDefault="00246C16">
      <w:pPr>
        <w:pStyle w:val="TOC1"/>
        <w:rPr>
          <w:rFonts w:eastAsiaTheme="minorEastAsia"/>
          <w:b w:val="0"/>
          <w:sz w:val="22"/>
          <w:szCs w:val="22"/>
          <w:lang w:val="en-AU" w:eastAsia="en-AU"/>
        </w:rPr>
      </w:pPr>
      <w:r w:rsidRPr="00AE2A93">
        <w:rPr>
          <w:b w:val="0"/>
        </w:rPr>
        <w:fldChar w:fldCharType="begin"/>
      </w:r>
      <w:r w:rsidRPr="00AE2A93">
        <w:rPr>
          <w:b w:val="0"/>
        </w:rPr>
        <w:instrText xml:space="preserve"> TOC \o "1-3" \h \z \u </w:instrText>
      </w:r>
      <w:r w:rsidRPr="00AE2A93">
        <w:rPr>
          <w:b w:val="0"/>
        </w:rPr>
        <w:fldChar w:fldCharType="separate"/>
      </w:r>
      <w:hyperlink w:anchor="_Toc69979546" w:history="1">
        <w:r w:rsidR="00505548" w:rsidRPr="00132563">
          <w:rPr>
            <w:rStyle w:val="Hyperlink"/>
          </w:rPr>
          <w:t>EXECUTIVE SUMMARY</w:t>
        </w:r>
        <w:r w:rsidR="00505548">
          <w:rPr>
            <w:webHidden/>
          </w:rPr>
          <w:tab/>
        </w:r>
        <w:r w:rsidR="00505548">
          <w:rPr>
            <w:webHidden/>
          </w:rPr>
          <w:fldChar w:fldCharType="begin"/>
        </w:r>
        <w:r w:rsidR="00505548">
          <w:rPr>
            <w:webHidden/>
          </w:rPr>
          <w:instrText xml:space="preserve"> PAGEREF _Toc69979546 \h </w:instrText>
        </w:r>
        <w:r w:rsidR="00505548">
          <w:rPr>
            <w:webHidden/>
          </w:rPr>
        </w:r>
        <w:r w:rsidR="00505548">
          <w:rPr>
            <w:webHidden/>
          </w:rPr>
          <w:fldChar w:fldCharType="separate"/>
        </w:r>
        <w:r w:rsidR="00505548">
          <w:rPr>
            <w:webHidden/>
          </w:rPr>
          <w:t>4</w:t>
        </w:r>
        <w:r w:rsidR="00505548">
          <w:rPr>
            <w:webHidden/>
          </w:rPr>
          <w:fldChar w:fldCharType="end"/>
        </w:r>
      </w:hyperlink>
    </w:p>
    <w:p w14:paraId="37490774" w14:textId="238A4DFB" w:rsidR="00505548" w:rsidRDefault="00505548">
      <w:pPr>
        <w:pStyle w:val="TOC1"/>
        <w:rPr>
          <w:rFonts w:eastAsiaTheme="minorEastAsia"/>
          <w:b w:val="0"/>
          <w:sz w:val="22"/>
          <w:szCs w:val="22"/>
          <w:lang w:val="en-AU" w:eastAsia="en-AU"/>
        </w:rPr>
      </w:pPr>
      <w:hyperlink w:anchor="_Toc69979547" w:history="1">
        <w:r w:rsidRPr="00132563">
          <w:rPr>
            <w:rStyle w:val="Hyperlink"/>
          </w:rPr>
          <w:t>INTRODUCTION</w:t>
        </w:r>
        <w:r>
          <w:rPr>
            <w:webHidden/>
          </w:rPr>
          <w:tab/>
        </w:r>
        <w:r>
          <w:rPr>
            <w:webHidden/>
          </w:rPr>
          <w:fldChar w:fldCharType="begin"/>
        </w:r>
        <w:r>
          <w:rPr>
            <w:webHidden/>
          </w:rPr>
          <w:instrText xml:space="preserve"> PAGEREF _Toc69979547 \h </w:instrText>
        </w:r>
        <w:r>
          <w:rPr>
            <w:webHidden/>
          </w:rPr>
        </w:r>
        <w:r>
          <w:rPr>
            <w:webHidden/>
          </w:rPr>
          <w:fldChar w:fldCharType="separate"/>
        </w:r>
        <w:r>
          <w:rPr>
            <w:webHidden/>
          </w:rPr>
          <w:t>5</w:t>
        </w:r>
        <w:r>
          <w:rPr>
            <w:webHidden/>
          </w:rPr>
          <w:fldChar w:fldCharType="end"/>
        </w:r>
      </w:hyperlink>
    </w:p>
    <w:p w14:paraId="07AFAB56" w14:textId="464B3554" w:rsidR="00505548" w:rsidRDefault="00505548">
      <w:pPr>
        <w:pStyle w:val="TOC2"/>
        <w:rPr>
          <w:rFonts w:eastAsiaTheme="minorEastAsia"/>
          <w:b w:val="0"/>
          <w:sz w:val="22"/>
          <w:szCs w:val="22"/>
          <w:lang w:val="en-AU" w:eastAsia="en-AU"/>
        </w:rPr>
      </w:pPr>
      <w:hyperlink w:anchor="_Toc69979548" w:history="1">
        <w:r w:rsidRPr="00132563">
          <w:rPr>
            <w:rStyle w:val="Hyperlink"/>
          </w:rPr>
          <w:t>Project outcome</w:t>
        </w:r>
        <w:r>
          <w:rPr>
            <w:webHidden/>
          </w:rPr>
          <w:tab/>
        </w:r>
        <w:r>
          <w:rPr>
            <w:webHidden/>
          </w:rPr>
          <w:fldChar w:fldCharType="begin"/>
        </w:r>
        <w:r>
          <w:rPr>
            <w:webHidden/>
          </w:rPr>
          <w:instrText xml:space="preserve"> PAGEREF _Toc69979548 \h </w:instrText>
        </w:r>
        <w:r>
          <w:rPr>
            <w:webHidden/>
          </w:rPr>
        </w:r>
        <w:r>
          <w:rPr>
            <w:webHidden/>
          </w:rPr>
          <w:fldChar w:fldCharType="separate"/>
        </w:r>
        <w:r>
          <w:rPr>
            <w:webHidden/>
          </w:rPr>
          <w:t>6</w:t>
        </w:r>
        <w:r>
          <w:rPr>
            <w:webHidden/>
          </w:rPr>
          <w:fldChar w:fldCharType="end"/>
        </w:r>
      </w:hyperlink>
    </w:p>
    <w:p w14:paraId="794CAC93" w14:textId="114BCB76" w:rsidR="00505548" w:rsidRDefault="00505548">
      <w:pPr>
        <w:pStyle w:val="TOC2"/>
        <w:rPr>
          <w:rFonts w:eastAsiaTheme="minorEastAsia"/>
          <w:b w:val="0"/>
          <w:sz w:val="22"/>
          <w:szCs w:val="22"/>
          <w:lang w:val="en-AU" w:eastAsia="en-AU"/>
        </w:rPr>
      </w:pPr>
      <w:hyperlink w:anchor="_Toc69979549" w:history="1">
        <w:r w:rsidRPr="00132563">
          <w:rPr>
            <w:rStyle w:val="Hyperlink"/>
          </w:rPr>
          <w:t>Project background</w:t>
        </w:r>
        <w:r>
          <w:rPr>
            <w:webHidden/>
          </w:rPr>
          <w:tab/>
        </w:r>
        <w:r>
          <w:rPr>
            <w:webHidden/>
          </w:rPr>
          <w:fldChar w:fldCharType="begin"/>
        </w:r>
        <w:r>
          <w:rPr>
            <w:webHidden/>
          </w:rPr>
          <w:instrText xml:space="preserve"> PAGEREF _Toc69979549 \h </w:instrText>
        </w:r>
        <w:r>
          <w:rPr>
            <w:webHidden/>
          </w:rPr>
        </w:r>
        <w:r>
          <w:rPr>
            <w:webHidden/>
          </w:rPr>
          <w:fldChar w:fldCharType="separate"/>
        </w:r>
        <w:r>
          <w:rPr>
            <w:webHidden/>
          </w:rPr>
          <w:t>6</w:t>
        </w:r>
        <w:r>
          <w:rPr>
            <w:webHidden/>
          </w:rPr>
          <w:fldChar w:fldCharType="end"/>
        </w:r>
      </w:hyperlink>
    </w:p>
    <w:p w14:paraId="0D85754C" w14:textId="6ADC428F" w:rsidR="00505548" w:rsidRDefault="00505548">
      <w:pPr>
        <w:pStyle w:val="TOC2"/>
        <w:rPr>
          <w:rFonts w:eastAsiaTheme="minorEastAsia"/>
          <w:b w:val="0"/>
          <w:sz w:val="22"/>
          <w:szCs w:val="22"/>
          <w:lang w:val="en-AU" w:eastAsia="en-AU"/>
        </w:rPr>
      </w:pPr>
      <w:hyperlink w:anchor="_Toc69979550" w:history="1">
        <w:r w:rsidRPr="00132563">
          <w:rPr>
            <w:rStyle w:val="Hyperlink"/>
          </w:rPr>
          <w:t>Project objectives</w:t>
        </w:r>
        <w:r>
          <w:rPr>
            <w:webHidden/>
          </w:rPr>
          <w:tab/>
        </w:r>
        <w:r>
          <w:rPr>
            <w:webHidden/>
          </w:rPr>
          <w:fldChar w:fldCharType="begin"/>
        </w:r>
        <w:r>
          <w:rPr>
            <w:webHidden/>
          </w:rPr>
          <w:instrText xml:space="preserve"> PAGEREF _Toc69979550 \h </w:instrText>
        </w:r>
        <w:r>
          <w:rPr>
            <w:webHidden/>
          </w:rPr>
        </w:r>
        <w:r>
          <w:rPr>
            <w:webHidden/>
          </w:rPr>
          <w:fldChar w:fldCharType="separate"/>
        </w:r>
        <w:r>
          <w:rPr>
            <w:webHidden/>
          </w:rPr>
          <w:t>7</w:t>
        </w:r>
        <w:r>
          <w:rPr>
            <w:webHidden/>
          </w:rPr>
          <w:fldChar w:fldCharType="end"/>
        </w:r>
      </w:hyperlink>
    </w:p>
    <w:p w14:paraId="53F19BAE" w14:textId="20CA7B66" w:rsidR="00505548" w:rsidRDefault="00505548">
      <w:pPr>
        <w:pStyle w:val="TOC1"/>
        <w:rPr>
          <w:rFonts w:eastAsiaTheme="minorEastAsia"/>
          <w:b w:val="0"/>
          <w:sz w:val="22"/>
          <w:szCs w:val="22"/>
          <w:lang w:val="en-AU" w:eastAsia="en-AU"/>
        </w:rPr>
      </w:pPr>
      <w:hyperlink w:anchor="_Toc69979551" w:history="1">
        <w:r w:rsidRPr="00132563">
          <w:rPr>
            <w:rStyle w:val="Hyperlink"/>
          </w:rPr>
          <w:t>METHOD</w:t>
        </w:r>
        <w:r>
          <w:rPr>
            <w:webHidden/>
          </w:rPr>
          <w:tab/>
        </w:r>
        <w:r>
          <w:rPr>
            <w:webHidden/>
          </w:rPr>
          <w:fldChar w:fldCharType="begin"/>
        </w:r>
        <w:r>
          <w:rPr>
            <w:webHidden/>
          </w:rPr>
          <w:instrText xml:space="preserve"> PAGEREF _Toc69979551 \h </w:instrText>
        </w:r>
        <w:r>
          <w:rPr>
            <w:webHidden/>
          </w:rPr>
        </w:r>
        <w:r>
          <w:rPr>
            <w:webHidden/>
          </w:rPr>
          <w:fldChar w:fldCharType="separate"/>
        </w:r>
        <w:r>
          <w:rPr>
            <w:webHidden/>
          </w:rPr>
          <w:t>8</w:t>
        </w:r>
        <w:r>
          <w:rPr>
            <w:webHidden/>
          </w:rPr>
          <w:fldChar w:fldCharType="end"/>
        </w:r>
      </w:hyperlink>
    </w:p>
    <w:p w14:paraId="76EE4F74" w14:textId="4FB35645" w:rsidR="00505548" w:rsidRDefault="00505548">
      <w:pPr>
        <w:pStyle w:val="TOC2"/>
        <w:rPr>
          <w:rFonts w:eastAsiaTheme="minorEastAsia"/>
          <w:b w:val="0"/>
          <w:sz w:val="22"/>
          <w:szCs w:val="22"/>
          <w:lang w:val="en-AU" w:eastAsia="en-AU"/>
        </w:rPr>
      </w:pPr>
      <w:hyperlink w:anchor="_Toc69979552" w:history="1">
        <w:r w:rsidRPr="00132563">
          <w:rPr>
            <w:rStyle w:val="Hyperlink"/>
          </w:rPr>
          <w:t>Determination of accuracy and precision of a portable colourimeter</w:t>
        </w:r>
        <w:r>
          <w:rPr>
            <w:webHidden/>
          </w:rPr>
          <w:tab/>
        </w:r>
        <w:r>
          <w:rPr>
            <w:webHidden/>
          </w:rPr>
          <w:fldChar w:fldCharType="begin"/>
        </w:r>
        <w:r>
          <w:rPr>
            <w:webHidden/>
          </w:rPr>
          <w:instrText xml:space="preserve"> PAGEREF _Toc69979552 \h </w:instrText>
        </w:r>
        <w:r>
          <w:rPr>
            <w:webHidden/>
          </w:rPr>
        </w:r>
        <w:r>
          <w:rPr>
            <w:webHidden/>
          </w:rPr>
          <w:fldChar w:fldCharType="separate"/>
        </w:r>
        <w:r>
          <w:rPr>
            <w:webHidden/>
          </w:rPr>
          <w:t>8</w:t>
        </w:r>
        <w:r>
          <w:rPr>
            <w:webHidden/>
          </w:rPr>
          <w:fldChar w:fldCharType="end"/>
        </w:r>
      </w:hyperlink>
    </w:p>
    <w:p w14:paraId="2F6B0EE7" w14:textId="45AF162E" w:rsidR="00505548" w:rsidRDefault="00505548">
      <w:pPr>
        <w:pStyle w:val="TOC3"/>
        <w:rPr>
          <w:rFonts w:eastAsiaTheme="minorEastAsia"/>
          <w:b w:val="0"/>
          <w:sz w:val="22"/>
          <w:szCs w:val="22"/>
          <w:lang w:val="en-AU" w:eastAsia="en-AU"/>
        </w:rPr>
      </w:pPr>
      <w:hyperlink w:anchor="_Toc69979553" w:history="1">
        <w:r w:rsidRPr="00132563">
          <w:rPr>
            <w:rStyle w:val="Hyperlink"/>
          </w:rPr>
          <w:t>Instrument description</w:t>
        </w:r>
        <w:r>
          <w:rPr>
            <w:webHidden/>
          </w:rPr>
          <w:tab/>
        </w:r>
        <w:r>
          <w:rPr>
            <w:webHidden/>
          </w:rPr>
          <w:fldChar w:fldCharType="begin"/>
        </w:r>
        <w:r>
          <w:rPr>
            <w:webHidden/>
          </w:rPr>
          <w:instrText xml:space="preserve"> PAGEREF _Toc69979553 \h </w:instrText>
        </w:r>
        <w:r>
          <w:rPr>
            <w:webHidden/>
          </w:rPr>
        </w:r>
        <w:r>
          <w:rPr>
            <w:webHidden/>
          </w:rPr>
          <w:fldChar w:fldCharType="separate"/>
        </w:r>
        <w:r>
          <w:rPr>
            <w:webHidden/>
          </w:rPr>
          <w:t>8</w:t>
        </w:r>
        <w:r>
          <w:rPr>
            <w:webHidden/>
          </w:rPr>
          <w:fldChar w:fldCharType="end"/>
        </w:r>
      </w:hyperlink>
    </w:p>
    <w:p w14:paraId="39276DD7" w14:textId="39D47730" w:rsidR="00505548" w:rsidRDefault="00505548">
      <w:pPr>
        <w:pStyle w:val="TOC3"/>
        <w:rPr>
          <w:rFonts w:eastAsiaTheme="minorEastAsia"/>
          <w:b w:val="0"/>
          <w:sz w:val="22"/>
          <w:szCs w:val="22"/>
          <w:lang w:val="en-AU" w:eastAsia="en-AU"/>
        </w:rPr>
      </w:pPr>
      <w:hyperlink w:anchor="_Toc69979554" w:history="1">
        <w:r w:rsidRPr="00132563">
          <w:rPr>
            <w:rStyle w:val="Hyperlink"/>
          </w:rPr>
          <w:t>Calibration of colour attributes</w:t>
        </w:r>
        <w:r>
          <w:rPr>
            <w:webHidden/>
          </w:rPr>
          <w:tab/>
        </w:r>
        <w:r>
          <w:rPr>
            <w:webHidden/>
          </w:rPr>
          <w:fldChar w:fldCharType="begin"/>
        </w:r>
        <w:r>
          <w:rPr>
            <w:webHidden/>
          </w:rPr>
          <w:instrText xml:space="preserve"> PAGEREF _Toc69979554 \h </w:instrText>
        </w:r>
        <w:r>
          <w:rPr>
            <w:webHidden/>
          </w:rPr>
        </w:r>
        <w:r>
          <w:rPr>
            <w:webHidden/>
          </w:rPr>
          <w:fldChar w:fldCharType="separate"/>
        </w:r>
        <w:r>
          <w:rPr>
            <w:webHidden/>
          </w:rPr>
          <w:t>8</w:t>
        </w:r>
        <w:r>
          <w:rPr>
            <w:webHidden/>
          </w:rPr>
          <w:fldChar w:fldCharType="end"/>
        </w:r>
      </w:hyperlink>
    </w:p>
    <w:p w14:paraId="38AD943E" w14:textId="06B22EF8" w:rsidR="00505548" w:rsidRDefault="00505548">
      <w:pPr>
        <w:pStyle w:val="TOC3"/>
        <w:rPr>
          <w:rFonts w:eastAsiaTheme="minorEastAsia"/>
          <w:b w:val="0"/>
          <w:sz w:val="22"/>
          <w:szCs w:val="22"/>
          <w:lang w:val="en-AU" w:eastAsia="en-AU"/>
        </w:rPr>
      </w:pPr>
      <w:hyperlink w:anchor="_Toc69979555" w:history="1">
        <w:r w:rsidRPr="00132563">
          <w:rPr>
            <w:rStyle w:val="Hyperlink"/>
          </w:rPr>
          <w:t>Validation of colour attributes</w:t>
        </w:r>
        <w:r>
          <w:rPr>
            <w:webHidden/>
          </w:rPr>
          <w:tab/>
        </w:r>
        <w:r>
          <w:rPr>
            <w:webHidden/>
          </w:rPr>
          <w:fldChar w:fldCharType="begin"/>
        </w:r>
        <w:r>
          <w:rPr>
            <w:webHidden/>
          </w:rPr>
          <w:instrText xml:space="preserve"> PAGEREF _Toc69979555 \h </w:instrText>
        </w:r>
        <w:r>
          <w:rPr>
            <w:webHidden/>
          </w:rPr>
        </w:r>
        <w:r>
          <w:rPr>
            <w:webHidden/>
          </w:rPr>
          <w:fldChar w:fldCharType="separate"/>
        </w:r>
        <w:r>
          <w:rPr>
            <w:webHidden/>
          </w:rPr>
          <w:t>8</w:t>
        </w:r>
        <w:r>
          <w:rPr>
            <w:webHidden/>
          </w:rPr>
          <w:fldChar w:fldCharType="end"/>
        </w:r>
      </w:hyperlink>
    </w:p>
    <w:p w14:paraId="761CDEC5" w14:textId="46FB8B9F" w:rsidR="00505548" w:rsidRDefault="00505548">
      <w:pPr>
        <w:pStyle w:val="TOC2"/>
        <w:rPr>
          <w:rFonts w:eastAsiaTheme="minorEastAsia"/>
          <w:b w:val="0"/>
          <w:sz w:val="22"/>
          <w:szCs w:val="22"/>
          <w:lang w:val="en-AU" w:eastAsia="en-AU"/>
        </w:rPr>
      </w:pPr>
      <w:hyperlink w:anchor="_Toc69979556" w:history="1">
        <w:r w:rsidRPr="00132563">
          <w:rPr>
            <w:rStyle w:val="Hyperlink"/>
          </w:rPr>
          <w:t>Data analysis</w:t>
        </w:r>
        <w:r>
          <w:rPr>
            <w:webHidden/>
          </w:rPr>
          <w:tab/>
        </w:r>
        <w:r>
          <w:rPr>
            <w:webHidden/>
          </w:rPr>
          <w:fldChar w:fldCharType="begin"/>
        </w:r>
        <w:r>
          <w:rPr>
            <w:webHidden/>
          </w:rPr>
          <w:instrText xml:space="preserve"> PAGEREF _Toc69979556 \h </w:instrText>
        </w:r>
        <w:r>
          <w:rPr>
            <w:webHidden/>
          </w:rPr>
        </w:r>
        <w:r>
          <w:rPr>
            <w:webHidden/>
          </w:rPr>
          <w:fldChar w:fldCharType="separate"/>
        </w:r>
        <w:r>
          <w:rPr>
            <w:webHidden/>
          </w:rPr>
          <w:t>9</w:t>
        </w:r>
        <w:r>
          <w:rPr>
            <w:webHidden/>
          </w:rPr>
          <w:fldChar w:fldCharType="end"/>
        </w:r>
      </w:hyperlink>
    </w:p>
    <w:p w14:paraId="4C9B1A03" w14:textId="4680DBC9" w:rsidR="00505548" w:rsidRDefault="00505548">
      <w:pPr>
        <w:pStyle w:val="TOC1"/>
        <w:rPr>
          <w:rFonts w:eastAsiaTheme="minorEastAsia"/>
          <w:b w:val="0"/>
          <w:sz w:val="22"/>
          <w:szCs w:val="22"/>
          <w:lang w:val="en-AU" w:eastAsia="en-AU"/>
        </w:rPr>
      </w:pPr>
      <w:hyperlink w:anchor="_Toc69979557" w:history="1">
        <w:r w:rsidRPr="00132563">
          <w:rPr>
            <w:rStyle w:val="Hyperlink"/>
          </w:rPr>
          <w:t>RESULTS</w:t>
        </w:r>
        <w:r>
          <w:rPr>
            <w:webHidden/>
          </w:rPr>
          <w:tab/>
        </w:r>
        <w:r>
          <w:rPr>
            <w:webHidden/>
          </w:rPr>
          <w:fldChar w:fldCharType="begin"/>
        </w:r>
        <w:r>
          <w:rPr>
            <w:webHidden/>
          </w:rPr>
          <w:instrText xml:space="preserve"> PAGEREF _Toc69979557 \h </w:instrText>
        </w:r>
        <w:r>
          <w:rPr>
            <w:webHidden/>
          </w:rPr>
        </w:r>
        <w:r>
          <w:rPr>
            <w:webHidden/>
          </w:rPr>
          <w:fldChar w:fldCharType="separate"/>
        </w:r>
        <w:r>
          <w:rPr>
            <w:webHidden/>
          </w:rPr>
          <w:t>10</w:t>
        </w:r>
        <w:r>
          <w:rPr>
            <w:webHidden/>
          </w:rPr>
          <w:fldChar w:fldCharType="end"/>
        </w:r>
      </w:hyperlink>
    </w:p>
    <w:p w14:paraId="7541B509" w14:textId="3F6F8837" w:rsidR="00505548" w:rsidRDefault="00505548">
      <w:pPr>
        <w:pStyle w:val="TOC2"/>
        <w:rPr>
          <w:rFonts w:eastAsiaTheme="minorEastAsia"/>
          <w:b w:val="0"/>
          <w:sz w:val="22"/>
          <w:szCs w:val="22"/>
          <w:lang w:val="en-AU" w:eastAsia="en-AU"/>
        </w:rPr>
      </w:pPr>
      <w:hyperlink w:anchor="_Toc69979558" w:history="1">
        <w:r w:rsidRPr="00132563">
          <w:rPr>
            <w:rStyle w:val="Hyperlink"/>
          </w:rPr>
          <w:t>Accuracy and precision of a portable colourimeter</w:t>
        </w:r>
        <w:r>
          <w:rPr>
            <w:webHidden/>
          </w:rPr>
          <w:tab/>
        </w:r>
        <w:r>
          <w:rPr>
            <w:webHidden/>
          </w:rPr>
          <w:fldChar w:fldCharType="begin"/>
        </w:r>
        <w:r>
          <w:rPr>
            <w:webHidden/>
          </w:rPr>
          <w:instrText xml:space="preserve"> PAGEREF _Toc69979558 \h </w:instrText>
        </w:r>
        <w:r>
          <w:rPr>
            <w:webHidden/>
          </w:rPr>
        </w:r>
        <w:r>
          <w:rPr>
            <w:webHidden/>
          </w:rPr>
          <w:fldChar w:fldCharType="separate"/>
        </w:r>
        <w:r>
          <w:rPr>
            <w:webHidden/>
          </w:rPr>
          <w:t>10</w:t>
        </w:r>
        <w:r>
          <w:rPr>
            <w:webHidden/>
          </w:rPr>
          <w:fldChar w:fldCharType="end"/>
        </w:r>
      </w:hyperlink>
    </w:p>
    <w:p w14:paraId="74CB1333" w14:textId="04A8FAC6" w:rsidR="00505548" w:rsidRDefault="00505548">
      <w:pPr>
        <w:pStyle w:val="TOC3"/>
        <w:rPr>
          <w:rFonts w:eastAsiaTheme="minorEastAsia"/>
          <w:b w:val="0"/>
          <w:sz w:val="22"/>
          <w:szCs w:val="22"/>
          <w:lang w:val="en-AU" w:eastAsia="en-AU"/>
        </w:rPr>
      </w:pPr>
      <w:hyperlink w:anchor="_Toc69979559" w:history="1">
        <w:r w:rsidRPr="00132563">
          <w:rPr>
            <w:rStyle w:val="Hyperlink"/>
          </w:rPr>
          <w:t>Calibration of colour attributes</w:t>
        </w:r>
        <w:r>
          <w:rPr>
            <w:webHidden/>
          </w:rPr>
          <w:tab/>
        </w:r>
        <w:r>
          <w:rPr>
            <w:webHidden/>
          </w:rPr>
          <w:fldChar w:fldCharType="begin"/>
        </w:r>
        <w:r>
          <w:rPr>
            <w:webHidden/>
          </w:rPr>
          <w:instrText xml:space="preserve"> PAGEREF _Toc69979559 \h </w:instrText>
        </w:r>
        <w:r>
          <w:rPr>
            <w:webHidden/>
          </w:rPr>
        </w:r>
        <w:r>
          <w:rPr>
            <w:webHidden/>
          </w:rPr>
          <w:fldChar w:fldCharType="separate"/>
        </w:r>
        <w:r>
          <w:rPr>
            <w:webHidden/>
          </w:rPr>
          <w:t>10</w:t>
        </w:r>
        <w:r>
          <w:rPr>
            <w:webHidden/>
          </w:rPr>
          <w:fldChar w:fldCharType="end"/>
        </w:r>
      </w:hyperlink>
    </w:p>
    <w:p w14:paraId="2DAC9253" w14:textId="562FB9AC" w:rsidR="00505548" w:rsidRDefault="00505548">
      <w:pPr>
        <w:pStyle w:val="TOC3"/>
        <w:rPr>
          <w:rFonts w:eastAsiaTheme="minorEastAsia"/>
          <w:b w:val="0"/>
          <w:sz w:val="22"/>
          <w:szCs w:val="22"/>
          <w:lang w:val="en-AU" w:eastAsia="en-AU"/>
        </w:rPr>
      </w:pPr>
      <w:hyperlink w:anchor="_Toc69979560" w:history="1">
        <w:r w:rsidRPr="00132563">
          <w:rPr>
            <w:rStyle w:val="Hyperlink"/>
          </w:rPr>
          <w:t>Validation of colour attributes</w:t>
        </w:r>
        <w:r>
          <w:rPr>
            <w:webHidden/>
          </w:rPr>
          <w:tab/>
        </w:r>
        <w:r>
          <w:rPr>
            <w:webHidden/>
          </w:rPr>
          <w:fldChar w:fldCharType="begin"/>
        </w:r>
        <w:r>
          <w:rPr>
            <w:webHidden/>
          </w:rPr>
          <w:instrText xml:space="preserve"> PAGEREF _Toc69979560 \h </w:instrText>
        </w:r>
        <w:r>
          <w:rPr>
            <w:webHidden/>
          </w:rPr>
        </w:r>
        <w:r>
          <w:rPr>
            <w:webHidden/>
          </w:rPr>
          <w:fldChar w:fldCharType="separate"/>
        </w:r>
        <w:r>
          <w:rPr>
            <w:webHidden/>
          </w:rPr>
          <w:t>10</w:t>
        </w:r>
        <w:r>
          <w:rPr>
            <w:webHidden/>
          </w:rPr>
          <w:fldChar w:fldCharType="end"/>
        </w:r>
      </w:hyperlink>
    </w:p>
    <w:p w14:paraId="50764B4D" w14:textId="4A91949C" w:rsidR="00505548" w:rsidRDefault="00505548">
      <w:pPr>
        <w:pStyle w:val="TOC1"/>
        <w:rPr>
          <w:rFonts w:eastAsiaTheme="minorEastAsia"/>
          <w:b w:val="0"/>
          <w:sz w:val="22"/>
          <w:szCs w:val="22"/>
          <w:lang w:val="en-AU" w:eastAsia="en-AU"/>
        </w:rPr>
      </w:pPr>
      <w:hyperlink w:anchor="_Toc69979561" w:history="1">
        <w:r w:rsidRPr="00132563">
          <w:rPr>
            <w:rStyle w:val="Hyperlink"/>
          </w:rPr>
          <w:t>CONCLUSION</w:t>
        </w:r>
        <w:r>
          <w:rPr>
            <w:webHidden/>
          </w:rPr>
          <w:tab/>
        </w:r>
        <w:r>
          <w:rPr>
            <w:webHidden/>
          </w:rPr>
          <w:fldChar w:fldCharType="begin"/>
        </w:r>
        <w:r>
          <w:rPr>
            <w:webHidden/>
          </w:rPr>
          <w:instrText xml:space="preserve"> PAGEREF _Toc69979561 \h </w:instrText>
        </w:r>
        <w:r>
          <w:rPr>
            <w:webHidden/>
          </w:rPr>
        </w:r>
        <w:r>
          <w:rPr>
            <w:webHidden/>
          </w:rPr>
          <w:fldChar w:fldCharType="separate"/>
        </w:r>
        <w:r>
          <w:rPr>
            <w:webHidden/>
          </w:rPr>
          <w:t>12</w:t>
        </w:r>
        <w:r>
          <w:rPr>
            <w:webHidden/>
          </w:rPr>
          <w:fldChar w:fldCharType="end"/>
        </w:r>
      </w:hyperlink>
    </w:p>
    <w:p w14:paraId="653397F2" w14:textId="73304F02" w:rsidR="00505548" w:rsidRDefault="00505548">
      <w:pPr>
        <w:pStyle w:val="TOC1"/>
        <w:rPr>
          <w:rFonts w:eastAsiaTheme="minorEastAsia"/>
          <w:b w:val="0"/>
          <w:sz w:val="22"/>
          <w:szCs w:val="22"/>
          <w:lang w:val="en-AU" w:eastAsia="en-AU"/>
        </w:rPr>
      </w:pPr>
      <w:hyperlink w:anchor="_Toc69979562" w:history="1">
        <w:r w:rsidRPr="00132563">
          <w:rPr>
            <w:rStyle w:val="Hyperlink"/>
          </w:rPr>
          <w:t>RECOMMENDATIONS</w:t>
        </w:r>
        <w:r>
          <w:rPr>
            <w:webHidden/>
          </w:rPr>
          <w:tab/>
        </w:r>
        <w:r>
          <w:rPr>
            <w:webHidden/>
          </w:rPr>
          <w:fldChar w:fldCharType="begin"/>
        </w:r>
        <w:r>
          <w:rPr>
            <w:webHidden/>
          </w:rPr>
          <w:instrText xml:space="preserve"> PAGEREF _Toc69979562 \h </w:instrText>
        </w:r>
        <w:r>
          <w:rPr>
            <w:webHidden/>
          </w:rPr>
        </w:r>
        <w:r>
          <w:rPr>
            <w:webHidden/>
          </w:rPr>
          <w:fldChar w:fldCharType="separate"/>
        </w:r>
        <w:r>
          <w:rPr>
            <w:webHidden/>
          </w:rPr>
          <w:t>12</w:t>
        </w:r>
        <w:r>
          <w:rPr>
            <w:webHidden/>
          </w:rPr>
          <w:fldChar w:fldCharType="end"/>
        </w:r>
      </w:hyperlink>
    </w:p>
    <w:p w14:paraId="075909FE" w14:textId="12EC56FF" w:rsidR="00505548" w:rsidRDefault="00505548">
      <w:pPr>
        <w:pStyle w:val="TOC1"/>
        <w:rPr>
          <w:rFonts w:eastAsiaTheme="minorEastAsia"/>
          <w:b w:val="0"/>
          <w:sz w:val="22"/>
          <w:szCs w:val="22"/>
          <w:lang w:val="en-AU" w:eastAsia="en-AU"/>
        </w:rPr>
      </w:pPr>
      <w:hyperlink w:anchor="_Toc69979563" w:history="1">
        <w:r w:rsidRPr="00132563">
          <w:rPr>
            <w:rStyle w:val="Hyperlink"/>
          </w:rPr>
          <w:t>REFERENCES</w:t>
        </w:r>
        <w:r>
          <w:rPr>
            <w:webHidden/>
          </w:rPr>
          <w:tab/>
        </w:r>
        <w:r>
          <w:rPr>
            <w:webHidden/>
          </w:rPr>
          <w:fldChar w:fldCharType="begin"/>
        </w:r>
        <w:r>
          <w:rPr>
            <w:webHidden/>
          </w:rPr>
          <w:instrText xml:space="preserve"> PAGEREF _Toc69979563 \h </w:instrText>
        </w:r>
        <w:r>
          <w:rPr>
            <w:webHidden/>
          </w:rPr>
        </w:r>
        <w:r>
          <w:rPr>
            <w:webHidden/>
          </w:rPr>
          <w:fldChar w:fldCharType="separate"/>
        </w:r>
        <w:r>
          <w:rPr>
            <w:webHidden/>
          </w:rPr>
          <w:t>12</w:t>
        </w:r>
        <w:r>
          <w:rPr>
            <w:webHidden/>
          </w:rPr>
          <w:fldChar w:fldCharType="end"/>
        </w:r>
      </w:hyperlink>
    </w:p>
    <w:p w14:paraId="7DE0F809" w14:textId="46BB4CEE" w:rsidR="00505548" w:rsidRDefault="00505548">
      <w:pPr>
        <w:pStyle w:val="TOC1"/>
        <w:rPr>
          <w:rFonts w:eastAsiaTheme="minorEastAsia"/>
          <w:b w:val="0"/>
          <w:sz w:val="22"/>
          <w:szCs w:val="22"/>
          <w:lang w:val="en-AU" w:eastAsia="en-AU"/>
        </w:rPr>
      </w:pPr>
      <w:hyperlink w:anchor="_Toc69979564" w:history="1">
        <w:r w:rsidRPr="00132563">
          <w:rPr>
            <w:rStyle w:val="Hyperlink"/>
          </w:rPr>
          <w:t>Acknowledgements</w:t>
        </w:r>
        <w:r>
          <w:rPr>
            <w:webHidden/>
          </w:rPr>
          <w:tab/>
        </w:r>
        <w:r>
          <w:rPr>
            <w:webHidden/>
          </w:rPr>
          <w:fldChar w:fldCharType="begin"/>
        </w:r>
        <w:r>
          <w:rPr>
            <w:webHidden/>
          </w:rPr>
          <w:instrText xml:space="preserve"> PAGEREF _Toc69979564 \h </w:instrText>
        </w:r>
        <w:r>
          <w:rPr>
            <w:webHidden/>
          </w:rPr>
        </w:r>
        <w:r>
          <w:rPr>
            <w:webHidden/>
          </w:rPr>
          <w:fldChar w:fldCharType="separate"/>
        </w:r>
        <w:r>
          <w:rPr>
            <w:webHidden/>
          </w:rPr>
          <w:t>13</w:t>
        </w:r>
        <w:r>
          <w:rPr>
            <w:webHidden/>
          </w:rPr>
          <w:fldChar w:fldCharType="end"/>
        </w:r>
      </w:hyperlink>
    </w:p>
    <w:p w14:paraId="26765AAA" w14:textId="3A987C43" w:rsidR="00246C16" w:rsidRPr="00AD6EB0" w:rsidRDefault="00246C16" w:rsidP="00E32351">
      <w:pPr>
        <w:pStyle w:val="TOC1"/>
        <w:spacing w:before="120" w:after="120" w:line="240" w:lineRule="atLeast"/>
      </w:pPr>
      <w:r w:rsidRPr="00AE2A93">
        <w:rPr>
          <w:b w:val="0"/>
        </w:rPr>
        <w:fldChar w:fldCharType="end"/>
      </w:r>
    </w:p>
    <w:p w14:paraId="23AA18B8" w14:textId="31577307" w:rsidR="00246C16" w:rsidRDefault="00246C16" w:rsidP="00E32351">
      <w:pPr>
        <w:spacing w:line="240" w:lineRule="atLeast"/>
      </w:pPr>
    </w:p>
    <w:p w14:paraId="4F8312C6" w14:textId="77777777" w:rsidR="00246C16" w:rsidRDefault="00246C16" w:rsidP="00E32351">
      <w:pPr>
        <w:spacing w:line="240" w:lineRule="atLeast"/>
        <w:sectPr w:rsidR="00246C16" w:rsidSect="003C7022">
          <w:headerReference w:type="default" r:id="rId19"/>
          <w:footerReference w:type="default" r:id="rId20"/>
          <w:pgSz w:w="11900" w:h="16840"/>
          <w:pgMar w:top="1916" w:right="1077" w:bottom="1440" w:left="1077" w:header="709" w:footer="714" w:gutter="0"/>
          <w:cols w:space="708"/>
          <w:docGrid w:linePitch="360"/>
        </w:sectPr>
      </w:pPr>
    </w:p>
    <w:p w14:paraId="72741E27" w14:textId="77777777" w:rsidR="00246C16" w:rsidRPr="00340C5D" w:rsidRDefault="00246C16" w:rsidP="00E32351">
      <w:pPr>
        <w:pStyle w:val="Agdividertext"/>
        <w:spacing w:line="240" w:lineRule="atLeast"/>
      </w:pPr>
      <w:bookmarkStart w:id="2" w:name="_Toc439949479"/>
      <w:r w:rsidRPr="00512EBF">
        <w:t>01.</w:t>
      </w:r>
      <w:r>
        <w:br/>
      </w:r>
      <w:r w:rsidRPr="00340C5D">
        <w:t>Victorian</w:t>
      </w:r>
      <w:r>
        <w:t xml:space="preserve"> </w:t>
      </w:r>
      <w:bookmarkStart w:id="3" w:name="_Toc439946688"/>
      <w:r w:rsidRPr="00340C5D">
        <w:t>Agriculture</w:t>
      </w:r>
      <w:bookmarkEnd w:id="2"/>
      <w:bookmarkEnd w:id="3"/>
    </w:p>
    <w:p w14:paraId="6BB5B168" w14:textId="77777777" w:rsidR="00246C16" w:rsidRPr="00CE5937" w:rsidRDefault="00246C16" w:rsidP="00E32351">
      <w:pPr>
        <w:pStyle w:val="Agdividertext"/>
        <w:spacing w:line="240" w:lineRule="atLeast"/>
      </w:pPr>
    </w:p>
    <w:p w14:paraId="3297F344" w14:textId="77777777" w:rsidR="00D12E27" w:rsidRDefault="00D12E27" w:rsidP="00E32351">
      <w:pPr>
        <w:spacing w:after="0" w:line="240" w:lineRule="atLeast"/>
        <w:rPr>
          <w:b/>
          <w:bCs/>
          <w:caps/>
          <w:color w:val="4C7329"/>
          <w:sz w:val="22"/>
        </w:rPr>
      </w:pPr>
      <w:r>
        <w:br w:type="page"/>
      </w:r>
    </w:p>
    <w:p w14:paraId="0641D251" w14:textId="75D2C9E3" w:rsidR="00246C16" w:rsidRPr="002E41D6" w:rsidRDefault="00246C16" w:rsidP="00E32351">
      <w:pPr>
        <w:pStyle w:val="Heading1"/>
        <w:spacing w:line="240" w:lineRule="atLeast"/>
      </w:pPr>
      <w:bookmarkStart w:id="4" w:name="_Toc69979546"/>
      <w:r>
        <w:lastRenderedPageBreak/>
        <w:t>EXECUTIVE SUMMARY</w:t>
      </w:r>
      <w:bookmarkEnd w:id="4"/>
    </w:p>
    <w:p w14:paraId="3D58B485" w14:textId="1794F7D4" w:rsidR="00246C16" w:rsidRPr="00751115" w:rsidRDefault="00FA7A6C" w:rsidP="00751115">
      <w:pPr>
        <w:spacing w:line="240" w:lineRule="atLeast"/>
        <w:rPr>
          <w:color w:val="auto"/>
        </w:rPr>
      </w:pPr>
      <w:r w:rsidRPr="00751115">
        <w:rPr>
          <w:rFonts w:cs="Arial"/>
          <w:color w:val="auto"/>
        </w:rPr>
        <w:t xml:space="preserve">Fruit </w:t>
      </w:r>
      <w:proofErr w:type="spellStart"/>
      <w:r w:rsidRPr="00751115">
        <w:rPr>
          <w:rFonts w:cs="Arial"/>
          <w:color w:val="auto"/>
        </w:rPr>
        <w:t>colour</w:t>
      </w:r>
      <w:proofErr w:type="spellEnd"/>
      <w:r w:rsidRPr="00751115">
        <w:rPr>
          <w:rFonts w:cs="Arial"/>
          <w:color w:val="auto"/>
        </w:rPr>
        <w:t xml:space="preserve"> is a key quality parameter that is universally accepted across different markets and has been previously linked to fruit maturity in stone fruit. Skin </w:t>
      </w:r>
      <w:proofErr w:type="spellStart"/>
      <w:r w:rsidRPr="00751115">
        <w:rPr>
          <w:rFonts w:cs="Arial"/>
          <w:color w:val="auto"/>
        </w:rPr>
        <w:t>colour</w:t>
      </w:r>
      <w:proofErr w:type="spellEnd"/>
      <w:r w:rsidRPr="00751115">
        <w:rPr>
          <w:rFonts w:cs="Arial"/>
          <w:color w:val="auto"/>
        </w:rPr>
        <w:t xml:space="preserve"> can be affected by several genetic, management and environmental factors, with fruit exposure to light being one that commonly affects several crops and cultivars. In situ determinations of fruit </w:t>
      </w:r>
      <w:proofErr w:type="spellStart"/>
      <w:r w:rsidRPr="00751115">
        <w:rPr>
          <w:rFonts w:cs="Arial"/>
          <w:color w:val="auto"/>
        </w:rPr>
        <w:t>colour</w:t>
      </w:r>
      <w:proofErr w:type="spellEnd"/>
      <w:r w:rsidRPr="00751115">
        <w:rPr>
          <w:rFonts w:cs="Arial"/>
          <w:color w:val="auto"/>
        </w:rPr>
        <w:t xml:space="preserve"> are typically assessed by visual observations; however, these can be quite subjective and would be more accurately measured using a </w:t>
      </w:r>
      <w:proofErr w:type="spellStart"/>
      <w:r w:rsidRPr="00751115">
        <w:rPr>
          <w:rFonts w:cs="Arial"/>
          <w:color w:val="auto"/>
        </w:rPr>
        <w:t>colourimeter</w:t>
      </w:r>
      <w:proofErr w:type="spellEnd"/>
      <w:r w:rsidRPr="00751115">
        <w:rPr>
          <w:rFonts w:cs="Arial"/>
          <w:color w:val="auto"/>
        </w:rPr>
        <w:t>. Th</w:t>
      </w:r>
      <w:r w:rsidR="005C3C43">
        <w:rPr>
          <w:rFonts w:cs="Arial"/>
          <w:color w:val="auto"/>
        </w:rPr>
        <w:t xml:space="preserve">e </w:t>
      </w:r>
      <w:r w:rsidRPr="00751115">
        <w:rPr>
          <w:rFonts w:cs="Arial"/>
          <w:color w:val="auto"/>
        </w:rPr>
        <w:t>objective</w:t>
      </w:r>
      <w:r w:rsidR="005C3C43">
        <w:rPr>
          <w:rFonts w:cs="Arial"/>
          <w:color w:val="auto"/>
        </w:rPr>
        <w:t xml:space="preserve"> of this work was to </w:t>
      </w:r>
      <w:r w:rsidRPr="00751115">
        <w:rPr>
          <w:rFonts w:cs="Arial"/>
          <w:color w:val="auto"/>
        </w:rPr>
        <w:t xml:space="preserve">determine the accuracy and precision of a portable Bluetooth </w:t>
      </w:r>
      <w:proofErr w:type="spellStart"/>
      <w:r w:rsidRPr="00751115">
        <w:rPr>
          <w:rFonts w:cs="Arial"/>
          <w:color w:val="auto"/>
        </w:rPr>
        <w:t>colourimeter</w:t>
      </w:r>
      <w:proofErr w:type="spellEnd"/>
      <w:r w:rsidRPr="00751115">
        <w:rPr>
          <w:rFonts w:cs="Arial"/>
          <w:color w:val="auto"/>
        </w:rPr>
        <w:t xml:space="preserve"> for skin </w:t>
      </w:r>
      <w:proofErr w:type="spellStart"/>
      <w:r w:rsidRPr="00751115">
        <w:rPr>
          <w:rFonts w:cs="Arial"/>
          <w:color w:val="auto"/>
        </w:rPr>
        <w:t>colour</w:t>
      </w:r>
      <w:proofErr w:type="spellEnd"/>
      <w:r w:rsidRPr="00751115">
        <w:rPr>
          <w:rFonts w:cs="Arial"/>
          <w:color w:val="auto"/>
        </w:rPr>
        <w:t xml:space="preserve"> measurements in stone fruit. The study was conducted at the Tatura </w:t>
      </w:r>
      <w:proofErr w:type="spellStart"/>
      <w:r w:rsidRPr="00751115">
        <w:rPr>
          <w:rFonts w:cs="Arial"/>
          <w:color w:val="auto"/>
        </w:rPr>
        <w:t>SmartFarm</w:t>
      </w:r>
      <w:proofErr w:type="spellEnd"/>
      <w:r w:rsidRPr="00751115">
        <w:rPr>
          <w:rFonts w:cs="Arial"/>
          <w:color w:val="auto"/>
        </w:rPr>
        <w:t xml:space="preserve">, Australia over summer 2021. The skin </w:t>
      </w:r>
      <w:proofErr w:type="spellStart"/>
      <w:r w:rsidRPr="00751115">
        <w:rPr>
          <w:rFonts w:cs="Arial"/>
          <w:color w:val="auto"/>
        </w:rPr>
        <w:t>colour</w:t>
      </w:r>
      <w:proofErr w:type="spellEnd"/>
      <w:r w:rsidRPr="00751115">
        <w:rPr>
          <w:rFonts w:cs="Arial"/>
          <w:color w:val="auto"/>
        </w:rPr>
        <w:t xml:space="preserve"> attributes measured with the </w:t>
      </w:r>
      <w:proofErr w:type="spellStart"/>
      <w:r w:rsidRPr="00751115">
        <w:rPr>
          <w:rFonts w:cs="Arial"/>
          <w:color w:val="auto"/>
        </w:rPr>
        <w:t>colourimeter</w:t>
      </w:r>
      <w:proofErr w:type="spellEnd"/>
      <w:r w:rsidRPr="00751115">
        <w:rPr>
          <w:rFonts w:cs="Arial"/>
          <w:color w:val="auto"/>
        </w:rPr>
        <w:t>, namely L*, a* and b*, were calibrated against a reference spectrophotometer. C* and h° were obtained from a* and b*.</w:t>
      </w:r>
      <w:r w:rsidR="005C3C43">
        <w:rPr>
          <w:rFonts w:cs="Arial"/>
          <w:color w:val="auto"/>
        </w:rPr>
        <w:t xml:space="preserve"> </w:t>
      </w:r>
      <w:r w:rsidRPr="00751115">
        <w:rPr>
          <w:rFonts w:cs="Arial"/>
          <w:color w:val="auto"/>
        </w:rPr>
        <w:t xml:space="preserve">Cross-validation models of </w:t>
      </w:r>
      <w:proofErr w:type="spellStart"/>
      <w:r w:rsidRPr="00751115">
        <w:rPr>
          <w:rFonts w:cs="Arial"/>
          <w:color w:val="auto"/>
        </w:rPr>
        <w:t>colourimeter</w:t>
      </w:r>
      <w:proofErr w:type="spellEnd"/>
      <w:r w:rsidRPr="00751115">
        <w:rPr>
          <w:rFonts w:cs="Arial"/>
          <w:color w:val="auto"/>
        </w:rPr>
        <w:t xml:space="preserve"> data versus data obtained with the reference spectrophotometer showed high precision and accuracy for the detection of L*, a* and b*.Overall, the device proved reliable and fast for skin </w:t>
      </w:r>
      <w:proofErr w:type="spellStart"/>
      <w:r w:rsidRPr="00751115">
        <w:rPr>
          <w:rFonts w:cs="Arial"/>
          <w:color w:val="auto"/>
        </w:rPr>
        <w:t>colour</w:t>
      </w:r>
      <w:proofErr w:type="spellEnd"/>
      <w:r w:rsidRPr="00751115">
        <w:rPr>
          <w:rFonts w:cs="Arial"/>
          <w:color w:val="auto"/>
        </w:rPr>
        <w:t xml:space="preserve"> detection in stone fruit.</w:t>
      </w:r>
    </w:p>
    <w:p w14:paraId="0F1221F8" w14:textId="77777777" w:rsidR="00246C16" w:rsidRPr="00751115" w:rsidRDefault="00246C16" w:rsidP="00E32351">
      <w:pPr>
        <w:spacing w:after="0" w:line="240" w:lineRule="atLeast"/>
        <w:rPr>
          <w:color w:val="auto"/>
        </w:rPr>
      </w:pPr>
      <w:r w:rsidRPr="00751115">
        <w:rPr>
          <w:color w:val="auto"/>
        </w:rPr>
        <w:br w:type="page"/>
      </w:r>
    </w:p>
    <w:p w14:paraId="45ADDDCB" w14:textId="77777777" w:rsidR="00246C16" w:rsidRPr="00206988" w:rsidRDefault="00246C16" w:rsidP="00E32351">
      <w:pPr>
        <w:pStyle w:val="Heading1"/>
        <w:spacing w:line="240" w:lineRule="atLeast"/>
      </w:pPr>
      <w:bookmarkStart w:id="5" w:name="_Toc439949481"/>
      <w:bookmarkStart w:id="6" w:name="_Toc69979547"/>
      <w:r w:rsidRPr="00206988">
        <w:lastRenderedPageBreak/>
        <w:t>INTRODUCTION</w:t>
      </w:r>
      <w:bookmarkEnd w:id="6"/>
    </w:p>
    <w:p w14:paraId="200BE913" w14:textId="77777777" w:rsidR="00C84E25" w:rsidRPr="00D6115F" w:rsidRDefault="00C84E25" w:rsidP="00C84E25">
      <w:pPr>
        <w:spacing w:line="240" w:lineRule="atLeast"/>
      </w:pPr>
      <w:r w:rsidRPr="005A063F">
        <w:rPr>
          <w:szCs w:val="20"/>
        </w:rPr>
        <w:t xml:space="preserve">This </w:t>
      </w:r>
      <w:r>
        <w:rPr>
          <w:szCs w:val="20"/>
        </w:rPr>
        <w:t xml:space="preserve">technical </w:t>
      </w:r>
      <w:r w:rsidRPr="005A063F">
        <w:rPr>
          <w:szCs w:val="20"/>
        </w:rPr>
        <w:t xml:space="preserve">report is </w:t>
      </w:r>
      <w:r>
        <w:rPr>
          <w:szCs w:val="20"/>
        </w:rPr>
        <w:t xml:space="preserve">a deliverable for the project FA042 </w:t>
      </w:r>
      <w:r w:rsidRPr="00895D28">
        <w:rPr>
          <w:szCs w:val="20"/>
        </w:rPr>
        <w:t>Deploying real-time sensors to meet Summerfruit export requirements</w:t>
      </w:r>
      <w:r>
        <w:rPr>
          <w:szCs w:val="20"/>
        </w:rPr>
        <w:t xml:space="preserve">. </w:t>
      </w:r>
      <w:r>
        <w:t xml:space="preserve">The report details a study to determine accuracy and precision of a portable Bluetooth </w:t>
      </w:r>
      <w:proofErr w:type="spellStart"/>
      <w:r>
        <w:t>colourimeter</w:t>
      </w:r>
      <w:proofErr w:type="spellEnd"/>
      <w:r>
        <w:t xml:space="preserve"> to measure skin </w:t>
      </w:r>
      <w:proofErr w:type="spellStart"/>
      <w:r>
        <w:t>colour</w:t>
      </w:r>
      <w:proofErr w:type="spellEnd"/>
      <w:r>
        <w:t xml:space="preserve"> by comparing results with a reference spectrophotometer over a range of </w:t>
      </w:r>
      <w:proofErr w:type="spellStart"/>
      <w:r>
        <w:t>colour</w:t>
      </w:r>
      <w:proofErr w:type="spellEnd"/>
      <w:r>
        <w:t xml:space="preserve"> cards and stone fruits.</w:t>
      </w:r>
    </w:p>
    <w:p w14:paraId="40A288E7" w14:textId="77777777" w:rsidR="00E5483C" w:rsidRPr="0006040F" w:rsidRDefault="00E5483C" w:rsidP="00E5483C">
      <w:pPr>
        <w:spacing w:line="240" w:lineRule="atLeast"/>
      </w:pPr>
      <w:r>
        <w:t xml:space="preserve">Fruit quality represents an important driver for future increases in value for exported Australian stone fruit. Stone fruit quality is not well defined, and it is strongly affected by the preferences of consumers, who generally demand red fruit with high sugar content. Fruit </w:t>
      </w:r>
      <w:proofErr w:type="spellStart"/>
      <w:r>
        <w:t>colour</w:t>
      </w:r>
      <w:proofErr w:type="spellEnd"/>
      <w:r>
        <w:t xml:space="preserve"> is one of the quality parameters that tends </w:t>
      </w:r>
      <w:r w:rsidRPr="0006040F">
        <w:t xml:space="preserve">to be stable among markets. Consumers prefer red nectarines and peaches, and apricots with red blush, as they are commonly associated with </w:t>
      </w:r>
      <w:proofErr w:type="spellStart"/>
      <w:r w:rsidRPr="0006040F">
        <w:t>flavour</w:t>
      </w:r>
      <w:proofErr w:type="spellEnd"/>
      <w:r w:rsidRPr="0006040F">
        <w:t xml:space="preserve"> and sweetness and they suit celebrations of events such as Christmas or the Chinese New Year. The main skin components responsible for red </w:t>
      </w:r>
      <w:proofErr w:type="spellStart"/>
      <w:r w:rsidRPr="0006040F">
        <w:t>colour</w:t>
      </w:r>
      <w:proofErr w:type="spellEnd"/>
      <w:r w:rsidRPr="0006040F">
        <w:t xml:space="preserve"> formation in nectarines and peaches are anthocyanin pigments (</w:t>
      </w:r>
      <w:proofErr w:type="spellStart"/>
      <w:r w:rsidRPr="0006040F">
        <w:t>Ravaglia</w:t>
      </w:r>
      <w:proofErr w:type="spellEnd"/>
      <w:r w:rsidRPr="0006040F">
        <w:t xml:space="preserve"> et al. 2013). Growers need to guarantee consistent and optimal fruit </w:t>
      </w:r>
      <w:proofErr w:type="spellStart"/>
      <w:r w:rsidRPr="0006040F">
        <w:t>colouration</w:t>
      </w:r>
      <w:proofErr w:type="spellEnd"/>
      <w:r w:rsidRPr="0006040F">
        <w:t xml:space="preserve"> by applying best orchard and post-harvest practices. The most common orchard practices adopted to </w:t>
      </w:r>
      <w:proofErr w:type="spellStart"/>
      <w:r w:rsidRPr="0006040F">
        <w:t>maximise</w:t>
      </w:r>
      <w:proofErr w:type="spellEnd"/>
      <w:r w:rsidRPr="0006040F">
        <w:t xml:space="preserve"> fruit red </w:t>
      </w:r>
      <w:proofErr w:type="spellStart"/>
      <w:r w:rsidRPr="0006040F">
        <w:t>colouration</w:t>
      </w:r>
      <w:proofErr w:type="spellEnd"/>
      <w:r w:rsidRPr="0006040F">
        <w:t xml:space="preserve"> are the use of modern cultivars, summer and winter pruning to reduce tree </w:t>
      </w:r>
      <w:proofErr w:type="spellStart"/>
      <w:r w:rsidRPr="0006040F">
        <w:t>vigour</w:t>
      </w:r>
      <w:proofErr w:type="spellEnd"/>
      <w:r w:rsidRPr="0006040F">
        <w:t xml:space="preserve">, crop load management, defoliation and the use of reflective mulch cloths to </w:t>
      </w:r>
      <w:proofErr w:type="spellStart"/>
      <w:r w:rsidRPr="0006040F">
        <w:t>maximise</w:t>
      </w:r>
      <w:proofErr w:type="spellEnd"/>
      <w:r w:rsidRPr="0006040F">
        <w:t xml:space="preserve"> fruit light interception, with the latter being less adopted in stone fruit compared to pome fruit. Water deficit has little to no direct influence on pigment formation in stone fruit but can reduce vegetative growth that in turn leads to increased red </w:t>
      </w:r>
      <w:proofErr w:type="spellStart"/>
      <w:r w:rsidRPr="0006040F">
        <w:t>colouration</w:t>
      </w:r>
      <w:proofErr w:type="spellEnd"/>
      <w:r w:rsidRPr="0006040F">
        <w:t xml:space="preserve"> (</w:t>
      </w:r>
      <w:proofErr w:type="spellStart"/>
      <w:r w:rsidRPr="0006040F">
        <w:t>Gelly</w:t>
      </w:r>
      <w:proofErr w:type="spellEnd"/>
      <w:r w:rsidRPr="0006040F">
        <w:t xml:space="preserve"> et al., 2003; O’Connell and Scalisi, 2021, accepted). Skin </w:t>
      </w:r>
      <w:proofErr w:type="spellStart"/>
      <w:r w:rsidRPr="0006040F">
        <w:t>colour</w:t>
      </w:r>
      <w:proofErr w:type="spellEnd"/>
      <w:r w:rsidRPr="0006040F">
        <w:t xml:space="preserve"> degradation may also be caused by storage disorders such as inking (</w:t>
      </w:r>
      <w:proofErr w:type="spellStart"/>
      <w:r w:rsidRPr="0006040F">
        <w:t>Crisosto</w:t>
      </w:r>
      <w:proofErr w:type="spellEnd"/>
      <w:r w:rsidRPr="0006040F">
        <w:t xml:space="preserve"> et al., 1999) or physical damage like bruises. Traditionally the skin background </w:t>
      </w:r>
      <w:proofErr w:type="spellStart"/>
      <w:r w:rsidRPr="0006040F">
        <w:t>colour</w:t>
      </w:r>
      <w:proofErr w:type="spellEnd"/>
      <w:r w:rsidRPr="0006040F">
        <w:t xml:space="preserve"> — the </w:t>
      </w:r>
      <w:proofErr w:type="spellStart"/>
      <w:r w:rsidRPr="0006040F">
        <w:t>colour</w:t>
      </w:r>
      <w:proofErr w:type="spellEnd"/>
      <w:r w:rsidRPr="0006040F">
        <w:t xml:space="preserve"> of the part of the fruit surface that is not covered by the red blush (Nunes, 2009) — proved to be a sensitive maturity indicator in peach (</w:t>
      </w:r>
      <w:proofErr w:type="spellStart"/>
      <w:r w:rsidRPr="0006040F">
        <w:t>Crisosto</w:t>
      </w:r>
      <w:proofErr w:type="spellEnd"/>
      <w:r w:rsidRPr="0006040F">
        <w:t xml:space="preserve">, 1994). However, in modern plum, peach and nectarine cultivars with uniform skin </w:t>
      </w:r>
      <w:proofErr w:type="spellStart"/>
      <w:r w:rsidRPr="0006040F">
        <w:t>colour</w:t>
      </w:r>
      <w:proofErr w:type="spellEnd"/>
      <w:r w:rsidRPr="0006040F">
        <w:t xml:space="preserve">, background </w:t>
      </w:r>
      <w:proofErr w:type="spellStart"/>
      <w:r w:rsidRPr="0006040F">
        <w:t>colour</w:t>
      </w:r>
      <w:proofErr w:type="spellEnd"/>
      <w:r w:rsidRPr="0006040F">
        <w:t xml:space="preserve"> is often not distinguished from the foreground </w:t>
      </w:r>
      <w:proofErr w:type="spellStart"/>
      <w:r w:rsidRPr="0006040F">
        <w:t>colour</w:t>
      </w:r>
      <w:proofErr w:type="spellEnd"/>
      <w:r w:rsidRPr="0006040F">
        <w:t>, making it difficult to be used as a maturity index. Instead, Australian stone fruit growers prefer to use destructive measurements of soluble solids concentration and/or flesh firmness as the main parameters to assess maturity in situ.</w:t>
      </w:r>
    </w:p>
    <w:p w14:paraId="366AD50B" w14:textId="77777777" w:rsidR="00E5483C" w:rsidRPr="0006040F" w:rsidRDefault="00E5483C" w:rsidP="00E5483C">
      <w:pPr>
        <w:spacing w:line="240" w:lineRule="atLeast"/>
      </w:pPr>
      <w:r w:rsidRPr="0006040F">
        <w:t xml:space="preserve">Stone fruit growers typically track fruit </w:t>
      </w:r>
      <w:proofErr w:type="spellStart"/>
      <w:r w:rsidRPr="0006040F">
        <w:t>colour</w:t>
      </w:r>
      <w:proofErr w:type="spellEnd"/>
      <w:r w:rsidRPr="0006040F">
        <w:t xml:space="preserve"> development by visual assessments in the orchards and during the post-harvest supply chain. The adoption of objective measurements of </w:t>
      </w:r>
      <w:proofErr w:type="spellStart"/>
      <w:r w:rsidRPr="0006040F">
        <w:t>colour</w:t>
      </w:r>
      <w:proofErr w:type="spellEnd"/>
      <w:r w:rsidRPr="0006040F">
        <w:t xml:space="preserve"> using RGB cameras or spectrometers is less common. Handheld </w:t>
      </w:r>
      <w:proofErr w:type="spellStart"/>
      <w:r w:rsidRPr="0006040F">
        <w:t>colourimeters</w:t>
      </w:r>
      <w:proofErr w:type="spellEnd"/>
      <w:r w:rsidRPr="0006040F">
        <w:t xml:space="preserve"> such as the CM-2600d spectrophotometer (Konica Minolta, Tokyo, Japan) have been used to determine fruit </w:t>
      </w:r>
      <w:proofErr w:type="spellStart"/>
      <w:r w:rsidRPr="0006040F">
        <w:t>colour</w:t>
      </w:r>
      <w:proofErr w:type="spellEnd"/>
      <w:r w:rsidRPr="0006040F">
        <w:t xml:space="preserve"> development prior to harvest, but despite their high precision, they are not widely used due to the difficulty associated with extracting and interpreting the data and to their relatively high cost. Therefore, visual judgement based on previous knowledge and growers’ experience remains the most important tool to assess in situ fruit skin </w:t>
      </w:r>
      <w:proofErr w:type="spellStart"/>
      <w:r w:rsidRPr="0006040F">
        <w:t>colour</w:t>
      </w:r>
      <w:proofErr w:type="spellEnd"/>
      <w:r w:rsidRPr="0006040F">
        <w:t xml:space="preserve">. However, growers working with modern peach and nectarine cultivars (i.e. fully </w:t>
      </w:r>
      <w:proofErr w:type="spellStart"/>
      <w:r w:rsidRPr="0006040F">
        <w:t>coloured</w:t>
      </w:r>
      <w:proofErr w:type="spellEnd"/>
      <w:r w:rsidRPr="0006040F">
        <w:t xml:space="preserve"> fruit) are less interested in measuring fruit </w:t>
      </w:r>
      <w:proofErr w:type="spellStart"/>
      <w:r w:rsidRPr="0006040F">
        <w:t>colour</w:t>
      </w:r>
      <w:proofErr w:type="spellEnd"/>
      <w:r w:rsidRPr="0006040F">
        <w:t xml:space="preserve"> as it does not represent a very accurate indicator of fruit quality.</w:t>
      </w:r>
    </w:p>
    <w:p w14:paraId="3B7BD9A5" w14:textId="77777777" w:rsidR="00E5483C" w:rsidRPr="0006040F" w:rsidRDefault="00E5483C" w:rsidP="00E5483C">
      <w:pPr>
        <w:spacing w:line="240" w:lineRule="atLeast"/>
      </w:pPr>
      <w:r w:rsidRPr="0006040F">
        <w:t xml:space="preserve">In </w:t>
      </w:r>
      <w:proofErr w:type="spellStart"/>
      <w:r w:rsidRPr="0006040F">
        <w:t>colour</w:t>
      </w:r>
      <w:proofErr w:type="spellEnd"/>
      <w:r w:rsidRPr="0006040F">
        <w:t xml:space="preserve">-measuring devices, reflectance spectra of the measured specimen are often used to determine </w:t>
      </w:r>
      <w:proofErr w:type="spellStart"/>
      <w:r w:rsidRPr="0006040F">
        <w:t>colour</w:t>
      </w:r>
      <w:proofErr w:type="spellEnd"/>
      <w:r w:rsidRPr="0006040F">
        <w:t xml:space="preserve"> in the CIELAB </w:t>
      </w:r>
      <w:proofErr w:type="spellStart"/>
      <w:r w:rsidRPr="0006040F">
        <w:t>colour</w:t>
      </w:r>
      <w:proofErr w:type="spellEnd"/>
      <w:r w:rsidRPr="0006040F">
        <w:t xml:space="preserve"> space (Greer et al., 2005). This three-dimensional space is </w:t>
      </w:r>
      <w:proofErr w:type="spellStart"/>
      <w:r w:rsidRPr="0006040F">
        <w:t>characterised</w:t>
      </w:r>
      <w:proofErr w:type="spellEnd"/>
      <w:r w:rsidRPr="0006040F">
        <w:t xml:space="preserve"> by quantitative </w:t>
      </w:r>
      <w:proofErr w:type="spellStart"/>
      <w:r w:rsidRPr="0006040F">
        <w:t>colour</w:t>
      </w:r>
      <w:proofErr w:type="spellEnd"/>
      <w:r w:rsidRPr="0006040F">
        <w:t xml:space="preserve"> attributes — namely L* (i.e. a lightness coefficient), a* [i.e. a scale of redness to greenness ranging from −60 (green) to +60 (red)] and b* [i.e. a scale of yellowness to blueness ranging from −60 (blue) to +60 (yellow)] (International </w:t>
      </w:r>
      <w:proofErr w:type="spellStart"/>
      <w:r w:rsidRPr="0006040F">
        <w:t>Organisation</w:t>
      </w:r>
      <w:proofErr w:type="spellEnd"/>
      <w:r w:rsidRPr="0006040F">
        <w:t xml:space="preserve"> for </w:t>
      </w:r>
      <w:proofErr w:type="spellStart"/>
      <w:r w:rsidRPr="0006040F">
        <w:t>Standardisation</w:t>
      </w:r>
      <w:proofErr w:type="spellEnd"/>
      <w:r w:rsidRPr="0006040F">
        <w:t xml:space="preserve">, 1976). Hue angle (h°) and chroma (C*) are two further </w:t>
      </w:r>
      <w:proofErr w:type="spellStart"/>
      <w:r w:rsidRPr="0006040F">
        <w:t>colour</w:t>
      </w:r>
      <w:proofErr w:type="spellEnd"/>
      <w:r w:rsidRPr="0006040F">
        <w:t xml:space="preserve"> indices that can be calculated from L*, a* and b* (McGuire, 1992). The h° is calculated as the arc tangent of b*/a* and represents a 360° wheel where 0° (or 360°) is true red, 90° is true yellow, 180° is true green and 270° is true blue; C* represents </w:t>
      </w:r>
      <w:proofErr w:type="spellStart"/>
      <w:r w:rsidRPr="0006040F">
        <w:t>colour</w:t>
      </w:r>
      <w:proofErr w:type="spellEnd"/>
      <w:r w:rsidRPr="0006040F">
        <w:t xml:space="preserve"> vividness on a scale from 0 (diluted with white or darkened with black) to +60 (no </w:t>
      </w:r>
      <w:proofErr w:type="spellStart"/>
      <w:r w:rsidRPr="0006040F">
        <w:t>colour</w:t>
      </w:r>
      <w:proofErr w:type="spellEnd"/>
      <w:r w:rsidRPr="0006040F">
        <w:t xml:space="preserve"> dilution) and is calculated as the square root of a*</w:t>
      </w:r>
      <w:r w:rsidRPr="0006040F">
        <w:rPr>
          <w:vertAlign w:val="superscript"/>
        </w:rPr>
        <w:t>2</w:t>
      </w:r>
      <w:r w:rsidRPr="0006040F">
        <w:t xml:space="preserve"> + b*</w:t>
      </w:r>
      <w:r w:rsidRPr="0006040F">
        <w:rPr>
          <w:vertAlign w:val="superscript"/>
        </w:rPr>
        <w:t>2</w:t>
      </w:r>
      <w:r w:rsidRPr="0006040F">
        <w:t xml:space="preserve"> (Peavey et al., 2020). A three-dimensional </w:t>
      </w:r>
      <w:proofErr w:type="spellStart"/>
      <w:r w:rsidRPr="0006040F">
        <w:t>colour</w:t>
      </w:r>
      <w:proofErr w:type="spellEnd"/>
      <w:r w:rsidRPr="0006040F">
        <w:t xml:space="preserve"> space framework and the relative L*, a*, b*, C* and h° scales are </w:t>
      </w:r>
      <w:proofErr w:type="spellStart"/>
      <w:r w:rsidRPr="0006040F">
        <w:t>summarised</w:t>
      </w:r>
      <w:proofErr w:type="spellEnd"/>
      <w:r w:rsidRPr="0006040F">
        <w:t xml:space="preserve"> in Figure 1.</w:t>
      </w:r>
    </w:p>
    <w:p w14:paraId="19594FD5" w14:textId="77777777" w:rsidR="00E5483C" w:rsidRDefault="00E5483C" w:rsidP="00E5483C">
      <w:pPr>
        <w:spacing w:line="240" w:lineRule="atLeast"/>
      </w:pPr>
      <w:r w:rsidRPr="0006040F">
        <w:t xml:space="preserve">Byrne et al. (1991), </w:t>
      </w:r>
      <w:proofErr w:type="spellStart"/>
      <w:r w:rsidRPr="0006040F">
        <w:t>Luchsinger</w:t>
      </w:r>
      <w:proofErr w:type="spellEnd"/>
      <w:r w:rsidRPr="0006040F">
        <w:t xml:space="preserve"> and Walsh (1998) and Nunes (2008) observed that a* of skin background </w:t>
      </w:r>
      <w:proofErr w:type="spellStart"/>
      <w:r w:rsidRPr="0006040F">
        <w:t>colour</w:t>
      </w:r>
      <w:proofErr w:type="spellEnd"/>
      <w:r w:rsidRPr="0006040F">
        <w:t xml:space="preserve"> is related to maturity in nectarine and peach. Robertson et al. (1990) and Ferrer et al. (2005) highlighted relationships between skin h° and maturity in ‘</w:t>
      </w:r>
      <w:proofErr w:type="spellStart"/>
      <w:r w:rsidRPr="0006040F">
        <w:t>Cresthaven</w:t>
      </w:r>
      <w:proofErr w:type="spellEnd"/>
      <w:r w:rsidRPr="0006040F">
        <w:t>’ and ‘</w:t>
      </w:r>
      <w:proofErr w:type="spellStart"/>
      <w:r w:rsidRPr="0006040F">
        <w:t>Calanda</w:t>
      </w:r>
      <w:proofErr w:type="spellEnd"/>
      <w:r w:rsidRPr="0006040F">
        <w:t>’ peach cultivars, respectively. Both a* and</w:t>
      </w:r>
      <w:r>
        <w:t xml:space="preserve"> h° are likely good indicators of maturity, with the latter being in theory the ideal parameter in fruit that possess a yellow intermediate step in the shift between green (immature) to orange-red (mature) or in fruit that simply go from green to yellow during ripening. </w:t>
      </w:r>
    </w:p>
    <w:p w14:paraId="12585D66" w14:textId="44E4481E" w:rsidR="00E5483C" w:rsidRDefault="00C84E25" w:rsidP="00C84E25">
      <w:pPr>
        <w:spacing w:line="240" w:lineRule="atLeast"/>
        <w:jc w:val="center"/>
      </w:pPr>
      <w:r w:rsidRPr="0039386C">
        <w:rPr>
          <w:noProof/>
          <w:lang w:val="en-AU"/>
        </w:rPr>
        <w:lastRenderedPageBreak/>
        <w:drawing>
          <wp:inline distT="0" distB="0" distL="0" distR="6350" wp14:anchorId="04AF6F82" wp14:editId="59558213">
            <wp:extent cx="4508500" cy="465709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21"/>
                    <a:srcRect l="14101" r="13244"/>
                    <a:stretch>
                      <a:fillRect/>
                    </a:stretch>
                  </pic:blipFill>
                  <pic:spPr bwMode="auto">
                    <a:xfrm>
                      <a:off x="0" y="0"/>
                      <a:ext cx="4508500" cy="4657090"/>
                    </a:xfrm>
                    <a:prstGeom prst="rect">
                      <a:avLst/>
                    </a:prstGeom>
                  </pic:spPr>
                </pic:pic>
              </a:graphicData>
            </a:graphic>
          </wp:inline>
        </w:drawing>
      </w:r>
    </w:p>
    <w:p w14:paraId="215C33FD" w14:textId="1E24652E" w:rsidR="00E5483C" w:rsidRDefault="00E5483C" w:rsidP="00E5483C">
      <w:pPr>
        <w:spacing w:line="240" w:lineRule="atLeast"/>
      </w:pPr>
      <w:r>
        <w:t xml:space="preserve">Figure 1. Schematic representation of L*, a*, b*, C* and h° in a three-dimensional </w:t>
      </w:r>
      <w:proofErr w:type="spellStart"/>
      <w:r>
        <w:t>colour</w:t>
      </w:r>
      <w:proofErr w:type="spellEnd"/>
      <w:r>
        <w:t xml:space="preserve"> space.</w:t>
      </w:r>
    </w:p>
    <w:p w14:paraId="50FFCE51" w14:textId="77777777" w:rsidR="00E5483C" w:rsidRDefault="00E5483C" w:rsidP="00E5483C">
      <w:pPr>
        <w:spacing w:line="240" w:lineRule="atLeast"/>
      </w:pPr>
      <w:r>
        <w:t xml:space="preserve">After harvest, RGB cameras and spectrometers can be the core technology of </w:t>
      </w:r>
      <w:proofErr w:type="spellStart"/>
      <w:r>
        <w:t>colourimeters</w:t>
      </w:r>
      <w:proofErr w:type="spellEnd"/>
      <w:r>
        <w:t xml:space="preserve"> used in laboratories or part of modern fruit sorting systems in packhouses that grade fruit into different classes based on quality characteristics. Recently, the use of ground-based mobile platforms to acquire tree-scale imagery to estimate tree size, flower cluster number and crop load has become popular in the apple and almond industry. This new technology offers the opportunity to measure fruit </w:t>
      </w:r>
      <w:proofErr w:type="spellStart"/>
      <w:r>
        <w:t>colour</w:t>
      </w:r>
      <w:proofErr w:type="spellEnd"/>
      <w:r>
        <w:t xml:space="preserve"> in situ. Overall, there is an increasing demand for cost-effective, user-friendly Ag-tech devices that can precisely assess fruit </w:t>
      </w:r>
      <w:proofErr w:type="spellStart"/>
      <w:r>
        <w:t>colour</w:t>
      </w:r>
      <w:proofErr w:type="spellEnd"/>
      <w:r>
        <w:t xml:space="preserve"> both in situ and post-harvest and that can be easily interfaced with smartphones for rapid data storage and display.</w:t>
      </w:r>
    </w:p>
    <w:p w14:paraId="5D9D1D9F" w14:textId="77777777" w:rsidR="00ED4ADE" w:rsidRPr="0041672C" w:rsidRDefault="00ED4ADE" w:rsidP="00ED4ADE">
      <w:pPr>
        <w:pStyle w:val="Heading2"/>
        <w:spacing w:line="240" w:lineRule="atLeast"/>
      </w:pPr>
      <w:bookmarkStart w:id="7" w:name="_Toc424201648"/>
      <w:bookmarkStart w:id="8" w:name="_Toc47099845"/>
      <w:bookmarkStart w:id="9" w:name="_Toc150569405"/>
      <w:bookmarkStart w:id="10" w:name="_Toc150571200"/>
      <w:bookmarkStart w:id="11" w:name="_Toc150569404"/>
      <w:bookmarkStart w:id="12" w:name="_Toc150571199"/>
      <w:bookmarkStart w:id="13" w:name="_Toc69979548"/>
      <w:r w:rsidRPr="0041672C">
        <w:t>Project outcome</w:t>
      </w:r>
      <w:bookmarkEnd w:id="7"/>
      <w:bookmarkEnd w:id="8"/>
      <w:bookmarkEnd w:id="13"/>
      <w:r w:rsidRPr="0041672C">
        <w:t xml:space="preserve"> </w:t>
      </w:r>
      <w:bookmarkEnd w:id="9"/>
      <w:bookmarkEnd w:id="10"/>
    </w:p>
    <w:p w14:paraId="6F863374" w14:textId="77777777" w:rsidR="00ED4ADE" w:rsidRPr="00153620" w:rsidRDefault="00ED4ADE" w:rsidP="00ED4ADE">
      <w:pPr>
        <w:spacing w:line="240" w:lineRule="atLeast"/>
      </w:pPr>
      <w:r w:rsidRPr="00B51384">
        <w:t>The identification of viable real-time sensors to assure quality on arrival in domestic and developing export markets and strengthened partnerships with industry and sensor technology partners</w:t>
      </w:r>
      <w:r>
        <w:t>.</w:t>
      </w:r>
    </w:p>
    <w:p w14:paraId="0A70C90D" w14:textId="77777777" w:rsidR="00ED4ADE" w:rsidRPr="0044213E" w:rsidRDefault="00ED4ADE" w:rsidP="00ED4ADE">
      <w:pPr>
        <w:pStyle w:val="Heading2"/>
        <w:spacing w:line="240" w:lineRule="atLeast"/>
      </w:pPr>
      <w:bookmarkStart w:id="14" w:name="_Toc424201649"/>
      <w:bookmarkStart w:id="15" w:name="_Toc47099846"/>
      <w:bookmarkStart w:id="16" w:name="_Toc69979549"/>
      <w:bookmarkEnd w:id="11"/>
      <w:bookmarkEnd w:id="12"/>
      <w:r>
        <w:t>Project b</w:t>
      </w:r>
      <w:r w:rsidRPr="0044213E">
        <w:t>ackground</w:t>
      </w:r>
      <w:bookmarkEnd w:id="14"/>
      <w:bookmarkEnd w:id="15"/>
      <w:bookmarkEnd w:id="16"/>
    </w:p>
    <w:p w14:paraId="23DDBE62" w14:textId="77777777" w:rsidR="00ED4ADE" w:rsidRPr="00B51384" w:rsidRDefault="00ED4ADE" w:rsidP="00ED4ADE">
      <w:pPr>
        <w:spacing w:line="240" w:lineRule="atLeast"/>
        <w:rPr>
          <w:rFonts w:cstheme="minorHAnsi"/>
          <w:color w:val="auto"/>
          <w:szCs w:val="20"/>
        </w:rPr>
      </w:pPr>
      <w:r>
        <w:t xml:space="preserve">Meeting export </w:t>
      </w:r>
      <w:r w:rsidRPr="00B51384">
        <w:rPr>
          <w:color w:val="auto"/>
        </w:rPr>
        <w:t>market specifications for quality is critical if expectations for price are to be met by Australian Summerfruit (peach, nectarine, apricot and plum) producers, packhouses and exporters. The pre</w:t>
      </w:r>
      <w:r w:rsidRPr="00EF46A4">
        <w:rPr>
          <w:color w:val="auto"/>
        </w:rPr>
        <w:t>-</w:t>
      </w:r>
      <w:r w:rsidRPr="00B51384">
        <w:rPr>
          <w:color w:val="auto"/>
        </w:rPr>
        <w:t xml:space="preserve"> and post-harvest conditions under which these stone fruit crops are produced, harvested and handled have a marked effect on the quality and shelf life. Asian export supply chains are generally complex, have poor vertical integration, and lack the cool storage technology and systems needed to </w:t>
      </w:r>
      <w:proofErr w:type="spellStart"/>
      <w:r w:rsidRPr="00B51384">
        <w:rPr>
          <w:color w:val="auto"/>
        </w:rPr>
        <w:t>optimise</w:t>
      </w:r>
      <w:proofErr w:type="spellEnd"/>
      <w:r w:rsidRPr="00B51384">
        <w:rPr>
          <w:color w:val="auto"/>
        </w:rPr>
        <w:t xml:space="preserve"> quality and shelf life. Australian Summerfruit producers and </w:t>
      </w:r>
      <w:r w:rsidRPr="00B51384">
        <w:rPr>
          <w:rFonts w:cstheme="minorHAnsi"/>
          <w:color w:val="auto"/>
          <w:szCs w:val="20"/>
        </w:rPr>
        <w:t>exporters must therefore produce stone fruit that</w:t>
      </w:r>
      <w:r>
        <w:rPr>
          <w:rFonts w:cstheme="minorHAnsi"/>
          <w:color w:val="auto"/>
          <w:szCs w:val="20"/>
        </w:rPr>
        <w:t xml:space="preserve">: </w:t>
      </w:r>
      <w:r w:rsidRPr="00B51384">
        <w:rPr>
          <w:rFonts w:cstheme="minorHAnsi"/>
          <w:color w:val="auto"/>
          <w:szCs w:val="20"/>
        </w:rPr>
        <w:t xml:space="preserve">satisfy consumer preference attributes for size, taste, </w:t>
      </w:r>
      <w:proofErr w:type="spellStart"/>
      <w:r w:rsidRPr="00B51384">
        <w:rPr>
          <w:rFonts w:cstheme="minorHAnsi"/>
          <w:color w:val="auto"/>
          <w:szCs w:val="20"/>
        </w:rPr>
        <w:t>colour</w:t>
      </w:r>
      <w:proofErr w:type="spellEnd"/>
      <w:r w:rsidRPr="00B51384">
        <w:rPr>
          <w:rFonts w:cstheme="minorHAnsi"/>
          <w:color w:val="auto"/>
          <w:szCs w:val="20"/>
        </w:rPr>
        <w:t xml:space="preserve"> and texture;</w:t>
      </w:r>
      <w:r>
        <w:rPr>
          <w:rFonts w:cstheme="minorHAnsi"/>
          <w:color w:val="auto"/>
          <w:szCs w:val="20"/>
        </w:rPr>
        <w:t xml:space="preserve"> </w:t>
      </w:r>
      <w:r w:rsidRPr="00B51384">
        <w:rPr>
          <w:rFonts w:cstheme="minorHAnsi"/>
          <w:color w:val="auto"/>
          <w:szCs w:val="20"/>
        </w:rPr>
        <w:t>meet export market access protocols for air and/or sea freight to China; and</w:t>
      </w:r>
      <w:r>
        <w:rPr>
          <w:rFonts w:cstheme="minorHAnsi"/>
          <w:color w:val="auto"/>
          <w:szCs w:val="20"/>
        </w:rPr>
        <w:t xml:space="preserve"> </w:t>
      </w:r>
      <w:r w:rsidRPr="00B51384">
        <w:rPr>
          <w:rFonts w:cstheme="minorHAnsi"/>
          <w:color w:val="auto"/>
          <w:szCs w:val="20"/>
        </w:rPr>
        <w:t>can survive short periods of sub optimal storage.</w:t>
      </w:r>
    </w:p>
    <w:p w14:paraId="0CDD7418" w14:textId="77777777" w:rsidR="00ED4ADE" w:rsidRPr="00B51384" w:rsidRDefault="00ED4ADE" w:rsidP="00ED4ADE">
      <w:pPr>
        <w:spacing w:line="240" w:lineRule="atLeast"/>
        <w:rPr>
          <w:color w:val="auto"/>
        </w:rPr>
      </w:pPr>
      <w:r w:rsidRPr="00B51384">
        <w:rPr>
          <w:rFonts w:cstheme="minorHAnsi"/>
          <w:color w:val="auto"/>
          <w:szCs w:val="20"/>
        </w:rPr>
        <w:lastRenderedPageBreak/>
        <w:t>Emerging ‘Smart’ sensor technologies that continuously measure environmental conditions (e.g. temperature) and product quality</w:t>
      </w:r>
      <w:r w:rsidRPr="00B51384">
        <w:rPr>
          <w:color w:val="auto"/>
        </w:rPr>
        <w:t xml:space="preserve"> (e.g. chlorophyll fluorescence) are tools that can be used to monitor </w:t>
      </w:r>
      <w:r w:rsidRPr="00EF46A4">
        <w:rPr>
          <w:color w:val="auto"/>
        </w:rPr>
        <w:t>pre- and</w:t>
      </w:r>
      <w:r w:rsidRPr="00B51384">
        <w:rPr>
          <w:color w:val="auto"/>
        </w:rPr>
        <w:t xml:space="preserve"> post-harvest quality and power ‘models’ to predict appearance, eating quality and shelf life at destination markets. However, further development and demonstration of proof of concept sensors, predictive models and whole of chain information systems are needed to tangibly improve grower and export chain performance.</w:t>
      </w:r>
    </w:p>
    <w:p w14:paraId="26BB82EE" w14:textId="77777777" w:rsidR="00ED4ADE" w:rsidRPr="00B51384" w:rsidRDefault="00ED4ADE" w:rsidP="00ED4ADE">
      <w:pPr>
        <w:spacing w:line="240" w:lineRule="atLeast"/>
        <w:rPr>
          <w:color w:val="auto"/>
        </w:rPr>
      </w:pPr>
      <w:r w:rsidRPr="00B51384">
        <w:rPr>
          <w:color w:val="auto"/>
        </w:rPr>
        <w:t xml:space="preserve">This project builds on previous exploratory work (Serviced Supply Chains project funded through Horticulture Innovation) to address stone fruit production and export chain performance issues (pain points) by testing and validating real-time sensor technologies that will assist growers and exporters to meet export requirements for China and other export markets. </w:t>
      </w:r>
    </w:p>
    <w:p w14:paraId="029A9F82" w14:textId="77777777" w:rsidR="00ED4ADE" w:rsidRPr="0044213E" w:rsidRDefault="00ED4ADE" w:rsidP="00ED4ADE">
      <w:pPr>
        <w:pStyle w:val="Heading2"/>
        <w:spacing w:line="240" w:lineRule="atLeast"/>
      </w:pPr>
      <w:bookmarkStart w:id="17" w:name="_Toc150569407"/>
      <w:bookmarkStart w:id="18" w:name="_Toc150571202"/>
      <w:bookmarkStart w:id="19" w:name="_Toc424201650"/>
      <w:bookmarkStart w:id="20" w:name="_Toc47099847"/>
      <w:bookmarkStart w:id="21" w:name="_Toc69979550"/>
      <w:r>
        <w:t>Project o</w:t>
      </w:r>
      <w:r w:rsidRPr="0044213E">
        <w:t>bjectives</w:t>
      </w:r>
      <w:bookmarkEnd w:id="17"/>
      <w:bookmarkEnd w:id="18"/>
      <w:bookmarkEnd w:id="19"/>
      <w:bookmarkEnd w:id="20"/>
      <w:bookmarkEnd w:id="21"/>
    </w:p>
    <w:p w14:paraId="00E5F6CD" w14:textId="2A66B1B1" w:rsidR="00ED4ADE" w:rsidRDefault="00ED4ADE" w:rsidP="00ED4ADE">
      <w:pPr>
        <w:pStyle w:val="ListParagraph"/>
        <w:numPr>
          <w:ilvl w:val="0"/>
          <w:numId w:val="18"/>
        </w:numPr>
        <w:spacing w:line="240" w:lineRule="atLeast"/>
        <w:rPr>
          <w:rFonts w:cstheme="minorHAnsi"/>
          <w:color w:val="auto"/>
          <w:szCs w:val="20"/>
        </w:rPr>
      </w:pPr>
      <w:r w:rsidRPr="00326189">
        <w:rPr>
          <w:rFonts w:cstheme="minorHAnsi"/>
          <w:color w:val="auto"/>
          <w:szCs w:val="20"/>
        </w:rPr>
        <w:t>Develop, test and validate pre-harvest sensor technologies capable of cost-effectively collecting data that will inform orchard management and lead to improved prediction of harvest timing, fruit quality attributes, yield and grade.</w:t>
      </w:r>
    </w:p>
    <w:p w14:paraId="0393EF79" w14:textId="1139CF46" w:rsidR="00ED4ADE" w:rsidRPr="004C5B38" w:rsidRDefault="00ED4ADE" w:rsidP="00ED4ADE">
      <w:pPr>
        <w:pStyle w:val="ListParagraph"/>
        <w:numPr>
          <w:ilvl w:val="0"/>
          <w:numId w:val="18"/>
        </w:numPr>
        <w:spacing w:line="240" w:lineRule="atLeast"/>
        <w:rPr>
          <w:rFonts w:cstheme="minorHAnsi"/>
          <w:color w:val="auto"/>
          <w:szCs w:val="20"/>
        </w:rPr>
      </w:pPr>
      <w:r w:rsidRPr="004C5B38">
        <w:rPr>
          <w:rFonts w:cstheme="minorHAnsi"/>
          <w:color w:val="auto"/>
          <w:szCs w:val="20"/>
        </w:rPr>
        <w:t>Develop, test and validate post-harvest sensor technologies capable of cost effectively collecting data that can inform or predict changing product quality and the development of storage disorders.</w:t>
      </w:r>
    </w:p>
    <w:bookmarkEnd w:id="5"/>
    <w:p w14:paraId="1F5B155C" w14:textId="77777777" w:rsidR="00246C16" w:rsidRDefault="00246C16" w:rsidP="00E32351">
      <w:pPr>
        <w:spacing w:after="0" w:line="240" w:lineRule="atLeast"/>
        <w:rPr>
          <w:color w:val="FF0000"/>
        </w:rPr>
      </w:pPr>
      <w:r>
        <w:rPr>
          <w:color w:val="FF0000"/>
        </w:rPr>
        <w:br w:type="page"/>
      </w:r>
    </w:p>
    <w:p w14:paraId="044F33A1" w14:textId="66E2A33B" w:rsidR="00246C16" w:rsidRPr="002E41D6" w:rsidRDefault="0073493A" w:rsidP="00E32351">
      <w:pPr>
        <w:pStyle w:val="Heading1"/>
        <w:spacing w:line="240" w:lineRule="atLeast"/>
      </w:pPr>
      <w:bookmarkStart w:id="22" w:name="_Toc69979551"/>
      <w:r>
        <w:lastRenderedPageBreak/>
        <w:t>METHOD</w:t>
      </w:r>
      <w:bookmarkEnd w:id="22"/>
    </w:p>
    <w:p w14:paraId="3F096DE3" w14:textId="77777777" w:rsidR="00D55005" w:rsidRPr="00D55005" w:rsidRDefault="00D55005" w:rsidP="00D55005">
      <w:pPr>
        <w:pStyle w:val="Heading2"/>
      </w:pPr>
      <w:bookmarkStart w:id="23" w:name="_Toc69979552"/>
      <w:r w:rsidRPr="00D55005">
        <w:t xml:space="preserve">Determination of accuracy and precision of a portable </w:t>
      </w:r>
      <w:proofErr w:type="spellStart"/>
      <w:r w:rsidRPr="00D55005">
        <w:t>colourimeter</w:t>
      </w:r>
      <w:bookmarkEnd w:id="23"/>
      <w:proofErr w:type="spellEnd"/>
    </w:p>
    <w:p w14:paraId="67C97A60" w14:textId="77777777" w:rsidR="00D55005" w:rsidRPr="00D55005" w:rsidRDefault="00D55005" w:rsidP="00D55005">
      <w:pPr>
        <w:pStyle w:val="Heading3"/>
      </w:pPr>
      <w:bookmarkStart w:id="24" w:name="_Toc69979553"/>
      <w:r w:rsidRPr="00D55005">
        <w:t>Instrument description</w:t>
      </w:r>
      <w:bookmarkEnd w:id="24"/>
    </w:p>
    <w:p w14:paraId="376897B5" w14:textId="77777777" w:rsidR="00D55005" w:rsidRPr="00D55005" w:rsidRDefault="00D55005" w:rsidP="00D55005">
      <w:pPr>
        <w:pStyle w:val="Instructions0"/>
        <w:spacing w:line="240" w:lineRule="atLeast"/>
        <w:rPr>
          <w:color w:val="auto"/>
        </w:rPr>
      </w:pPr>
      <w:r w:rsidRPr="00D55005">
        <w:rPr>
          <w:color w:val="auto"/>
        </w:rPr>
        <w:t xml:space="preserve">A portable Bluetooth </w:t>
      </w:r>
      <w:proofErr w:type="spellStart"/>
      <w:r w:rsidRPr="00D55005">
        <w:rPr>
          <w:color w:val="auto"/>
        </w:rPr>
        <w:t>colourimeter</w:t>
      </w:r>
      <w:proofErr w:type="spellEnd"/>
      <w:r w:rsidRPr="00D55005">
        <w:rPr>
          <w:color w:val="auto"/>
        </w:rPr>
        <w:t xml:space="preserve"> prototype (Rubens Technologies Pty Ltd, Figure 2) was tested for the measurement of L*, a* and b*. The </w:t>
      </w:r>
      <w:proofErr w:type="spellStart"/>
      <w:r w:rsidRPr="00D55005">
        <w:rPr>
          <w:color w:val="auto"/>
        </w:rPr>
        <w:t>colourimeter</w:t>
      </w:r>
      <w:proofErr w:type="spellEnd"/>
      <w:r w:rsidRPr="00D55005">
        <w:rPr>
          <w:color w:val="auto"/>
        </w:rPr>
        <w:t xml:space="preserve"> featured a D50 illuminant and separate red, green and blue (RGB) light intensity sensors as well as a total luminance sensor, all equipped with an IR light blocking filter. The light source was a white LED controlled via integrated logic. The </w:t>
      </w:r>
      <w:proofErr w:type="spellStart"/>
      <w:r w:rsidRPr="00D55005">
        <w:rPr>
          <w:color w:val="auto"/>
        </w:rPr>
        <w:t>colourimeter</w:t>
      </w:r>
      <w:proofErr w:type="spellEnd"/>
      <w:r w:rsidRPr="00D55005">
        <w:rPr>
          <w:color w:val="auto"/>
        </w:rPr>
        <w:t xml:space="preserve"> was connected to a smartphone via Bluetooth and logged data on the smartphone memory through a data logger app (“IDT data logger”) available for iOS devices. The app will be available on the Apple Store soon. RGB data were converted into CIELAB (i.e. L*, a* and b*) and CIELCH (i.e. L*, C* and h°) using a Python code (available at https://github.com/nevernervous78/rgb_to_Lab). The app allowed the collection of as many measurements per fruit as desired and safely stored data in the smartphone’s internal memory prior to data sharing. Data was then exported in a .csv file format. In addition, the smartphone application was able to read the labelling of near field communication (NFC) tags, which were coded with specific reference identifiers for scanned specimens (e.g. tree, fruit, treatment, replicate).</w:t>
      </w:r>
    </w:p>
    <w:p w14:paraId="4290C4A2" w14:textId="77777777" w:rsidR="00D55005" w:rsidRPr="00D55005" w:rsidRDefault="00D55005" w:rsidP="00D55005">
      <w:pPr>
        <w:pStyle w:val="Instructions0"/>
        <w:spacing w:line="240" w:lineRule="atLeast"/>
        <w:rPr>
          <w:color w:val="auto"/>
        </w:rPr>
      </w:pPr>
    </w:p>
    <w:p w14:paraId="00D539B9" w14:textId="77777777" w:rsidR="00D55005" w:rsidRDefault="00D55005" w:rsidP="00560568">
      <w:pPr>
        <w:pStyle w:val="Instructions0"/>
        <w:spacing w:line="240" w:lineRule="atLeast"/>
        <w:jc w:val="center"/>
        <w:rPr>
          <w:color w:val="auto"/>
        </w:rPr>
      </w:pPr>
      <w:r w:rsidRPr="0039386C">
        <w:rPr>
          <w:noProof/>
          <w:lang w:val="en-AU"/>
        </w:rPr>
        <w:drawing>
          <wp:inline distT="0" distB="0" distL="0" distR="0" wp14:anchorId="74423984" wp14:editId="703A2CC5">
            <wp:extent cx="3188970" cy="1983740"/>
            <wp:effectExtent l="0" t="6985" r="4445" b="4445"/>
            <wp:docPr id="3" name="Picture 17"/>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a:extLst>
                        <a:ext uri="{28A0092B-C50C-407E-A947-70E740481C1C}">
                          <a14:useLocalDpi xmlns:a14="http://schemas.microsoft.com/office/drawing/2010/main" val="0"/>
                        </a:ext>
                      </a:extLst>
                    </a:blip>
                    <a:stretch/>
                  </pic:blipFill>
                  <pic:spPr>
                    <a:xfrm rot="5400000">
                      <a:off x="0" y="0"/>
                      <a:ext cx="3188970" cy="1983740"/>
                    </a:xfrm>
                    <a:prstGeom prst="rect">
                      <a:avLst/>
                    </a:prstGeom>
                    <a:ln>
                      <a:noFill/>
                    </a:ln>
                  </pic:spPr>
                </pic:pic>
              </a:graphicData>
            </a:graphic>
          </wp:inline>
        </w:drawing>
      </w:r>
    </w:p>
    <w:p w14:paraId="5B519581" w14:textId="07C3E282" w:rsidR="00D55005" w:rsidRPr="00D55005" w:rsidRDefault="00D55005" w:rsidP="00D55005">
      <w:pPr>
        <w:pStyle w:val="Instructions0"/>
        <w:spacing w:line="240" w:lineRule="atLeast"/>
        <w:rPr>
          <w:color w:val="auto"/>
        </w:rPr>
      </w:pPr>
      <w:r w:rsidRPr="00D55005">
        <w:rPr>
          <w:color w:val="auto"/>
        </w:rPr>
        <w:t xml:space="preserve">Figure 2. Portable Bluetooth </w:t>
      </w:r>
      <w:proofErr w:type="spellStart"/>
      <w:r w:rsidRPr="00D55005">
        <w:rPr>
          <w:color w:val="auto"/>
        </w:rPr>
        <w:t>colourimeter</w:t>
      </w:r>
      <w:proofErr w:type="spellEnd"/>
      <w:r w:rsidRPr="00D55005">
        <w:rPr>
          <w:color w:val="auto"/>
        </w:rPr>
        <w:t xml:space="preserve"> used for in situ measurement of L*, a* and b* and calculation of C* and h° in a ‘</w:t>
      </w:r>
      <w:proofErr w:type="spellStart"/>
      <w:r w:rsidRPr="00D55005">
        <w:rPr>
          <w:color w:val="auto"/>
        </w:rPr>
        <w:t>Redhaven</w:t>
      </w:r>
      <w:proofErr w:type="spellEnd"/>
      <w:r w:rsidRPr="00D55005">
        <w:rPr>
          <w:color w:val="auto"/>
        </w:rPr>
        <w:t>’ peach fruit.</w:t>
      </w:r>
    </w:p>
    <w:p w14:paraId="5947D532" w14:textId="77777777" w:rsidR="00D55005" w:rsidRPr="00D55005" w:rsidRDefault="00D55005" w:rsidP="00D55005">
      <w:pPr>
        <w:pStyle w:val="Heading3"/>
      </w:pPr>
      <w:bookmarkStart w:id="25" w:name="_Toc69979554"/>
      <w:r w:rsidRPr="00D55005">
        <w:t xml:space="preserve">Calibration of </w:t>
      </w:r>
      <w:proofErr w:type="spellStart"/>
      <w:r w:rsidRPr="00D55005">
        <w:t>colour</w:t>
      </w:r>
      <w:proofErr w:type="spellEnd"/>
      <w:r w:rsidRPr="00D55005">
        <w:t xml:space="preserve"> attributes</w:t>
      </w:r>
      <w:bookmarkEnd w:id="25"/>
    </w:p>
    <w:p w14:paraId="33CABAA7" w14:textId="77777777" w:rsidR="00D55005" w:rsidRPr="00D55005" w:rsidRDefault="00D55005" w:rsidP="00D55005">
      <w:pPr>
        <w:pStyle w:val="Instructions0"/>
        <w:spacing w:line="240" w:lineRule="atLeast"/>
        <w:rPr>
          <w:color w:val="auto"/>
        </w:rPr>
      </w:pPr>
      <w:r w:rsidRPr="00D55005">
        <w:rPr>
          <w:color w:val="auto"/>
        </w:rPr>
        <w:t xml:space="preserve">The </w:t>
      </w:r>
      <w:proofErr w:type="spellStart"/>
      <w:r w:rsidRPr="00D55005">
        <w:rPr>
          <w:color w:val="auto"/>
        </w:rPr>
        <w:t>colourimeter</w:t>
      </w:r>
      <w:proofErr w:type="spellEnd"/>
      <w:r w:rsidRPr="00D55005">
        <w:rPr>
          <w:color w:val="auto"/>
        </w:rPr>
        <w:t xml:space="preserve"> was calibrated on 115 </w:t>
      </w:r>
      <w:proofErr w:type="spellStart"/>
      <w:r w:rsidRPr="00D55005">
        <w:rPr>
          <w:color w:val="auto"/>
        </w:rPr>
        <w:t>colour</w:t>
      </w:r>
      <w:proofErr w:type="spellEnd"/>
      <w:r w:rsidRPr="00D55005">
        <w:rPr>
          <w:color w:val="auto"/>
        </w:rPr>
        <w:t xml:space="preserve"> cards (calibration set) against a reference spectrophotometer (CM-2600d, Konica Minolta, Tokyo, Japan). RGB values were recorded and converted into XYZ and then into L*, a* and b* in a two-step process. One measurement per card was collected with each device. The calibration of the </w:t>
      </w:r>
      <w:proofErr w:type="spellStart"/>
      <w:r w:rsidRPr="00D55005">
        <w:rPr>
          <w:color w:val="auto"/>
        </w:rPr>
        <w:t>colourimeter’s</w:t>
      </w:r>
      <w:proofErr w:type="spellEnd"/>
      <w:r w:rsidRPr="00D55005">
        <w:rPr>
          <w:color w:val="auto"/>
        </w:rPr>
        <w:t xml:space="preserve"> L*, a* and b* against the reference spectrophotometer was carried out to correct the non-linearity of the </w:t>
      </w:r>
      <w:proofErr w:type="spellStart"/>
      <w:r w:rsidRPr="00D55005">
        <w:rPr>
          <w:color w:val="auto"/>
        </w:rPr>
        <w:t>colourimeter</w:t>
      </w:r>
      <w:proofErr w:type="spellEnd"/>
      <w:r w:rsidRPr="00D55005">
        <w:rPr>
          <w:color w:val="auto"/>
        </w:rPr>
        <w:t>. The values of C* and h° were calculated from a* and b* as specified in the introduction.</w:t>
      </w:r>
    </w:p>
    <w:p w14:paraId="3161A541" w14:textId="77777777" w:rsidR="00D55005" w:rsidRPr="00D55005" w:rsidRDefault="00D55005" w:rsidP="00D55005">
      <w:pPr>
        <w:pStyle w:val="Heading3"/>
      </w:pPr>
      <w:bookmarkStart w:id="26" w:name="_Toc69979555"/>
      <w:r w:rsidRPr="00D55005">
        <w:t xml:space="preserve">Validation of </w:t>
      </w:r>
      <w:proofErr w:type="spellStart"/>
      <w:r w:rsidRPr="00D55005">
        <w:t>colour</w:t>
      </w:r>
      <w:proofErr w:type="spellEnd"/>
      <w:r w:rsidRPr="00D55005">
        <w:t xml:space="preserve"> attributes</w:t>
      </w:r>
      <w:bookmarkEnd w:id="26"/>
    </w:p>
    <w:p w14:paraId="0A0D8516" w14:textId="77777777" w:rsidR="00D55005" w:rsidRPr="00D55005" w:rsidRDefault="00D55005" w:rsidP="00D55005">
      <w:pPr>
        <w:pStyle w:val="Instructions0"/>
        <w:spacing w:line="240" w:lineRule="atLeast"/>
        <w:rPr>
          <w:color w:val="auto"/>
        </w:rPr>
      </w:pPr>
      <w:r w:rsidRPr="00D55005">
        <w:rPr>
          <w:color w:val="auto"/>
        </w:rPr>
        <w:t xml:space="preserve">Accuracy of the </w:t>
      </w:r>
      <w:proofErr w:type="spellStart"/>
      <w:r w:rsidRPr="00D55005">
        <w:rPr>
          <w:color w:val="auto"/>
        </w:rPr>
        <w:t>colourimeter</w:t>
      </w:r>
      <w:proofErr w:type="spellEnd"/>
      <w:r w:rsidRPr="00D55005">
        <w:rPr>
          <w:color w:val="auto"/>
        </w:rPr>
        <w:t xml:space="preserve"> was tested using a validation dataset composed by 160 scans on different reference surfaces, as detailed below:</w:t>
      </w:r>
    </w:p>
    <w:p w14:paraId="43B741A2" w14:textId="77777777" w:rsidR="00D55005" w:rsidRPr="00D55005" w:rsidRDefault="00D55005" w:rsidP="00D55005">
      <w:pPr>
        <w:pStyle w:val="Instructions0"/>
        <w:spacing w:line="240" w:lineRule="atLeast"/>
        <w:rPr>
          <w:color w:val="auto"/>
        </w:rPr>
      </w:pPr>
      <w:r w:rsidRPr="00D55005">
        <w:rPr>
          <w:color w:val="auto"/>
        </w:rPr>
        <w:t>•</w:t>
      </w:r>
      <w:r w:rsidRPr="00D55005">
        <w:rPr>
          <w:color w:val="auto"/>
        </w:rPr>
        <w:tab/>
        <w:t>A calibration greyscale set (</w:t>
      </w:r>
      <w:proofErr w:type="spellStart"/>
      <w:r w:rsidRPr="00D55005">
        <w:rPr>
          <w:color w:val="auto"/>
        </w:rPr>
        <w:t>QPcard</w:t>
      </w:r>
      <w:proofErr w:type="spellEnd"/>
      <w:r w:rsidRPr="00D55005">
        <w:rPr>
          <w:color w:val="auto"/>
        </w:rPr>
        <w:t xml:space="preserve"> 102, </w:t>
      </w:r>
      <w:proofErr w:type="spellStart"/>
      <w:r w:rsidRPr="00D55005">
        <w:rPr>
          <w:color w:val="auto"/>
        </w:rPr>
        <w:t>QPcard</w:t>
      </w:r>
      <w:proofErr w:type="spellEnd"/>
      <w:r w:rsidRPr="00D55005">
        <w:rPr>
          <w:color w:val="auto"/>
        </w:rPr>
        <w:t xml:space="preserve">) with four greyscale </w:t>
      </w:r>
      <w:proofErr w:type="spellStart"/>
      <w:r w:rsidRPr="00D55005">
        <w:rPr>
          <w:color w:val="auto"/>
        </w:rPr>
        <w:t>colours</w:t>
      </w:r>
      <w:proofErr w:type="spellEnd"/>
      <w:r w:rsidRPr="00D55005">
        <w:rPr>
          <w:color w:val="auto"/>
        </w:rPr>
        <w:t xml:space="preserve">: dark grey (L* = 25, a* = 0 and b* = 0), medium grey (L* = 48, a* = 0 and b* = 0), light grey (L* = 80, a* = 0 and b* = 0) and white (L* = 95, a* = 0 and b* = 0). Five measurements were taken on each greyscale </w:t>
      </w:r>
      <w:proofErr w:type="spellStart"/>
      <w:r w:rsidRPr="00D55005">
        <w:rPr>
          <w:color w:val="auto"/>
        </w:rPr>
        <w:t>colour</w:t>
      </w:r>
      <w:proofErr w:type="spellEnd"/>
      <w:r w:rsidRPr="00D55005">
        <w:rPr>
          <w:color w:val="auto"/>
        </w:rPr>
        <w:t xml:space="preserve"> (n = 20).</w:t>
      </w:r>
    </w:p>
    <w:p w14:paraId="685DB6DF" w14:textId="77777777" w:rsidR="00D55005" w:rsidRPr="00D55005" w:rsidRDefault="00D55005" w:rsidP="00D55005">
      <w:pPr>
        <w:pStyle w:val="Instructions0"/>
        <w:spacing w:line="240" w:lineRule="atLeast"/>
        <w:rPr>
          <w:color w:val="auto"/>
        </w:rPr>
      </w:pPr>
      <w:r w:rsidRPr="00D55005">
        <w:rPr>
          <w:color w:val="auto"/>
        </w:rPr>
        <w:t>•</w:t>
      </w:r>
      <w:r w:rsidRPr="00D55005">
        <w:rPr>
          <w:color w:val="auto"/>
        </w:rPr>
        <w:tab/>
        <w:t xml:space="preserve">20 ‘Angeleno’ plums (Prunus </w:t>
      </w:r>
      <w:proofErr w:type="spellStart"/>
      <w:r w:rsidRPr="00D55005">
        <w:rPr>
          <w:color w:val="auto"/>
        </w:rPr>
        <w:t>salicina</w:t>
      </w:r>
      <w:proofErr w:type="spellEnd"/>
      <w:r w:rsidRPr="00D55005">
        <w:rPr>
          <w:color w:val="auto"/>
        </w:rPr>
        <w:t xml:space="preserve"> L.).</w:t>
      </w:r>
    </w:p>
    <w:p w14:paraId="6E3D6CBD" w14:textId="77777777" w:rsidR="00D55005" w:rsidRPr="00D55005" w:rsidRDefault="00D55005" w:rsidP="00D55005">
      <w:pPr>
        <w:pStyle w:val="Instructions0"/>
        <w:spacing w:line="240" w:lineRule="atLeast"/>
        <w:rPr>
          <w:color w:val="auto"/>
        </w:rPr>
      </w:pPr>
      <w:r w:rsidRPr="00D55005">
        <w:rPr>
          <w:color w:val="auto"/>
        </w:rPr>
        <w:lastRenderedPageBreak/>
        <w:t>•</w:t>
      </w:r>
      <w:r w:rsidRPr="00D55005">
        <w:rPr>
          <w:color w:val="auto"/>
        </w:rPr>
        <w:tab/>
        <w:t xml:space="preserve">20 ‘Golden May’ apricots (P. </w:t>
      </w:r>
      <w:proofErr w:type="spellStart"/>
      <w:r w:rsidRPr="00D55005">
        <w:rPr>
          <w:color w:val="auto"/>
        </w:rPr>
        <w:t>armeniaca</w:t>
      </w:r>
      <w:proofErr w:type="spellEnd"/>
      <w:r w:rsidRPr="00D55005">
        <w:rPr>
          <w:color w:val="auto"/>
        </w:rPr>
        <w:t xml:space="preserve"> L.).</w:t>
      </w:r>
    </w:p>
    <w:p w14:paraId="458185CC" w14:textId="77777777" w:rsidR="00D55005" w:rsidRPr="00D55005" w:rsidRDefault="00D55005" w:rsidP="00D55005">
      <w:pPr>
        <w:pStyle w:val="Instructions0"/>
        <w:spacing w:line="240" w:lineRule="atLeast"/>
        <w:rPr>
          <w:color w:val="auto"/>
        </w:rPr>
      </w:pPr>
      <w:r w:rsidRPr="00D55005">
        <w:rPr>
          <w:color w:val="auto"/>
        </w:rPr>
        <w:t>•</w:t>
      </w:r>
      <w:r w:rsidRPr="00D55005">
        <w:rPr>
          <w:color w:val="auto"/>
        </w:rPr>
        <w:tab/>
        <w:t xml:space="preserve">20 ‘Snow Flame’ white peaches (P. persica L. </w:t>
      </w:r>
      <w:proofErr w:type="spellStart"/>
      <w:r w:rsidRPr="00D55005">
        <w:rPr>
          <w:color w:val="auto"/>
        </w:rPr>
        <w:t>Batsch</w:t>
      </w:r>
      <w:proofErr w:type="spellEnd"/>
      <w:r w:rsidRPr="00D55005">
        <w:rPr>
          <w:color w:val="auto"/>
        </w:rPr>
        <w:t>).</w:t>
      </w:r>
    </w:p>
    <w:p w14:paraId="14F6B5C2" w14:textId="77777777" w:rsidR="00D55005" w:rsidRPr="00D55005" w:rsidRDefault="00D55005" w:rsidP="00D55005">
      <w:pPr>
        <w:pStyle w:val="Instructions0"/>
        <w:spacing w:line="240" w:lineRule="atLeast"/>
        <w:rPr>
          <w:color w:val="auto"/>
        </w:rPr>
      </w:pPr>
      <w:r w:rsidRPr="00D55005">
        <w:rPr>
          <w:color w:val="auto"/>
        </w:rPr>
        <w:t>•</w:t>
      </w:r>
      <w:r w:rsidRPr="00D55005">
        <w:rPr>
          <w:color w:val="auto"/>
        </w:rPr>
        <w:tab/>
        <w:t xml:space="preserve">20 ‘September Sun’ yellow peaches (P. persica L. </w:t>
      </w:r>
      <w:proofErr w:type="spellStart"/>
      <w:r w:rsidRPr="00D55005">
        <w:rPr>
          <w:color w:val="auto"/>
        </w:rPr>
        <w:t>Batsch</w:t>
      </w:r>
      <w:proofErr w:type="spellEnd"/>
      <w:r w:rsidRPr="00D55005">
        <w:rPr>
          <w:color w:val="auto"/>
        </w:rPr>
        <w:t>).</w:t>
      </w:r>
    </w:p>
    <w:p w14:paraId="57A7945D" w14:textId="77777777" w:rsidR="00D55005" w:rsidRPr="00D55005" w:rsidRDefault="00D55005" w:rsidP="00D55005">
      <w:pPr>
        <w:pStyle w:val="Instructions0"/>
        <w:spacing w:line="240" w:lineRule="atLeast"/>
        <w:rPr>
          <w:color w:val="auto"/>
        </w:rPr>
      </w:pPr>
      <w:r w:rsidRPr="00D55005">
        <w:rPr>
          <w:color w:val="auto"/>
        </w:rPr>
        <w:t>•</w:t>
      </w:r>
      <w:r w:rsidRPr="00D55005">
        <w:rPr>
          <w:color w:val="auto"/>
        </w:rPr>
        <w:tab/>
        <w:t xml:space="preserve">20 ‘Rose Bright’ yellow nectarines (P. persica L. </w:t>
      </w:r>
      <w:proofErr w:type="spellStart"/>
      <w:r w:rsidRPr="00D55005">
        <w:rPr>
          <w:color w:val="auto"/>
        </w:rPr>
        <w:t>Batsch</w:t>
      </w:r>
      <w:proofErr w:type="spellEnd"/>
      <w:r w:rsidRPr="00D55005">
        <w:rPr>
          <w:color w:val="auto"/>
        </w:rPr>
        <w:t>).</w:t>
      </w:r>
    </w:p>
    <w:p w14:paraId="52F3992A" w14:textId="77777777" w:rsidR="00D55005" w:rsidRPr="00D55005" w:rsidRDefault="00D55005" w:rsidP="00D55005">
      <w:pPr>
        <w:pStyle w:val="Instructions0"/>
        <w:spacing w:line="240" w:lineRule="atLeast"/>
        <w:rPr>
          <w:color w:val="auto"/>
        </w:rPr>
      </w:pPr>
      <w:r w:rsidRPr="00D55005">
        <w:rPr>
          <w:color w:val="auto"/>
        </w:rPr>
        <w:t>•</w:t>
      </w:r>
      <w:r w:rsidRPr="00D55005">
        <w:rPr>
          <w:color w:val="auto"/>
        </w:rPr>
        <w:tab/>
        <w:t xml:space="preserve">20 ‘Autumn Bright’ yellow nectarines (P. persica L. </w:t>
      </w:r>
      <w:proofErr w:type="spellStart"/>
      <w:r w:rsidRPr="00D55005">
        <w:rPr>
          <w:color w:val="auto"/>
        </w:rPr>
        <w:t>Batsch</w:t>
      </w:r>
      <w:proofErr w:type="spellEnd"/>
      <w:r w:rsidRPr="00D55005">
        <w:rPr>
          <w:color w:val="auto"/>
        </w:rPr>
        <w:t>).</w:t>
      </w:r>
    </w:p>
    <w:p w14:paraId="6647B0E1" w14:textId="77777777" w:rsidR="00D55005" w:rsidRPr="00D55005" w:rsidRDefault="00D55005" w:rsidP="00D55005">
      <w:pPr>
        <w:pStyle w:val="Instructions0"/>
        <w:spacing w:line="240" w:lineRule="atLeast"/>
        <w:rPr>
          <w:color w:val="auto"/>
        </w:rPr>
      </w:pPr>
      <w:r w:rsidRPr="00D55005">
        <w:rPr>
          <w:color w:val="auto"/>
        </w:rPr>
        <w:t>•</w:t>
      </w:r>
      <w:r w:rsidRPr="00D55005">
        <w:rPr>
          <w:color w:val="auto"/>
        </w:rPr>
        <w:tab/>
        <w:t xml:space="preserve">20 ‘Majestic Pearl’ white nectarines (P. persica L. </w:t>
      </w:r>
      <w:proofErr w:type="spellStart"/>
      <w:r w:rsidRPr="00D55005">
        <w:rPr>
          <w:color w:val="auto"/>
        </w:rPr>
        <w:t>Batsch</w:t>
      </w:r>
      <w:proofErr w:type="spellEnd"/>
      <w:r w:rsidRPr="00D55005">
        <w:rPr>
          <w:color w:val="auto"/>
        </w:rPr>
        <w:t>).</w:t>
      </w:r>
    </w:p>
    <w:p w14:paraId="675992A9" w14:textId="77777777" w:rsidR="00D55005" w:rsidRPr="00D55005" w:rsidRDefault="00D55005" w:rsidP="00D55005">
      <w:pPr>
        <w:pStyle w:val="Instructions0"/>
        <w:spacing w:line="240" w:lineRule="atLeast"/>
        <w:rPr>
          <w:color w:val="auto"/>
        </w:rPr>
      </w:pPr>
      <w:r w:rsidRPr="00D55005">
        <w:rPr>
          <w:color w:val="auto"/>
        </w:rPr>
        <w:t xml:space="preserve">Fruit of each cultivar had a good </w:t>
      </w:r>
      <w:proofErr w:type="spellStart"/>
      <w:r w:rsidRPr="00D55005">
        <w:rPr>
          <w:color w:val="auto"/>
        </w:rPr>
        <w:t>colour</w:t>
      </w:r>
      <w:proofErr w:type="spellEnd"/>
      <w:r w:rsidRPr="00D55005">
        <w:rPr>
          <w:color w:val="auto"/>
        </w:rPr>
        <w:t xml:space="preserve"> variability. Measurements were taken in a single spot that was marked with a circular area using a permanent marker. The same area was then scanned with the reference CM-2600d spectrophotometer. </w:t>
      </w:r>
    </w:p>
    <w:p w14:paraId="5A899BE0" w14:textId="77777777" w:rsidR="00D55005" w:rsidRPr="00D55005" w:rsidRDefault="00D55005" w:rsidP="00D55005">
      <w:pPr>
        <w:pStyle w:val="Heading2"/>
      </w:pPr>
      <w:bookmarkStart w:id="27" w:name="_Toc69979556"/>
      <w:r w:rsidRPr="00D55005">
        <w:t>Data analysis</w:t>
      </w:r>
      <w:bookmarkEnd w:id="27"/>
    </w:p>
    <w:p w14:paraId="6D7C6CB8" w14:textId="203CCFEF" w:rsidR="00246C16" w:rsidRPr="00D55005" w:rsidRDefault="00D55005" w:rsidP="00D55005">
      <w:pPr>
        <w:pStyle w:val="Instructions0"/>
        <w:spacing w:line="240" w:lineRule="atLeast"/>
        <w:rPr>
          <w:color w:val="auto"/>
        </w:rPr>
      </w:pPr>
      <w:r w:rsidRPr="00D55005">
        <w:rPr>
          <w:color w:val="auto"/>
        </w:rPr>
        <w:t xml:space="preserve">Exploratory data analysis was conducted to identify patterns and any outliers in the calibration sets. The calibration models of </w:t>
      </w:r>
      <w:proofErr w:type="spellStart"/>
      <w:r w:rsidRPr="00D55005">
        <w:rPr>
          <w:color w:val="auto"/>
        </w:rPr>
        <w:t>colourimeter’s</w:t>
      </w:r>
      <w:proofErr w:type="spellEnd"/>
      <w:r w:rsidRPr="00D55005">
        <w:rPr>
          <w:color w:val="auto"/>
        </w:rPr>
        <w:t xml:space="preserve"> L*, a* and b* against the reference CM-2600d spectrophotometer’s L*, a* and b* were obtained with regression analysis. The calibration models were applied to the </w:t>
      </w:r>
      <w:proofErr w:type="spellStart"/>
      <w:r w:rsidRPr="00D55005">
        <w:rPr>
          <w:color w:val="auto"/>
        </w:rPr>
        <w:t>colourimeter</w:t>
      </w:r>
      <w:proofErr w:type="spellEnd"/>
      <w:r w:rsidRPr="00D55005">
        <w:rPr>
          <w:color w:val="auto"/>
        </w:rPr>
        <w:t xml:space="preserve"> output and the prediction of L*, a* and b* in the validation dataset was compared to the observed L*, a*, b* obtained with the reference CM-2600d spectrophotometer. Lin’s concordance correlation coefficient (</w:t>
      </w:r>
      <w:proofErr w:type="spellStart"/>
      <w:r w:rsidRPr="00D55005">
        <w:rPr>
          <w:color w:val="auto"/>
        </w:rPr>
        <w:t>rc</w:t>
      </w:r>
      <w:proofErr w:type="spellEnd"/>
      <w:r w:rsidRPr="00D55005">
        <w:rPr>
          <w:color w:val="auto"/>
        </w:rPr>
        <w:t xml:space="preserve">) (Lin, 1989) was used to determine accuracy of the relationship of </w:t>
      </w:r>
      <w:proofErr w:type="spellStart"/>
      <w:r w:rsidRPr="00D55005">
        <w:rPr>
          <w:color w:val="auto"/>
        </w:rPr>
        <w:t>colourimeter’s</w:t>
      </w:r>
      <w:proofErr w:type="spellEnd"/>
      <w:r w:rsidRPr="00D55005">
        <w:rPr>
          <w:color w:val="auto"/>
        </w:rPr>
        <w:t xml:space="preserve"> L*, a* and b* against the CM-2600d spectrophotometer’s L*, a* and b* after validation.</w:t>
      </w:r>
      <w:r w:rsidR="005C3C43">
        <w:rPr>
          <w:color w:val="auto"/>
        </w:rPr>
        <w:t xml:space="preserve"> </w:t>
      </w:r>
      <w:r w:rsidRPr="00D55005">
        <w:rPr>
          <w:color w:val="auto"/>
        </w:rPr>
        <w:t xml:space="preserve">Data was </w:t>
      </w:r>
      <w:proofErr w:type="spellStart"/>
      <w:r w:rsidRPr="00D55005">
        <w:rPr>
          <w:color w:val="auto"/>
        </w:rPr>
        <w:t>analysed</w:t>
      </w:r>
      <w:proofErr w:type="spellEnd"/>
      <w:r w:rsidRPr="00D55005">
        <w:rPr>
          <w:color w:val="auto"/>
        </w:rPr>
        <w:t xml:space="preserve"> with JASP v. 0.14. 1 (</w:t>
      </w:r>
      <w:proofErr w:type="spellStart"/>
      <w:r w:rsidRPr="00D55005">
        <w:rPr>
          <w:color w:val="auto"/>
        </w:rPr>
        <w:t>Jasp</w:t>
      </w:r>
      <w:proofErr w:type="spellEnd"/>
      <w:r w:rsidRPr="00D55005">
        <w:rPr>
          <w:color w:val="auto"/>
        </w:rPr>
        <w:t xml:space="preserve"> Team 2018, Computer software) and plotted using </w:t>
      </w:r>
      <w:proofErr w:type="spellStart"/>
      <w:r w:rsidRPr="00D55005">
        <w:rPr>
          <w:color w:val="auto"/>
        </w:rPr>
        <w:t>SigmaPlot</w:t>
      </w:r>
      <w:proofErr w:type="spellEnd"/>
      <w:r w:rsidRPr="00D55005">
        <w:rPr>
          <w:color w:val="auto"/>
        </w:rPr>
        <w:t xml:space="preserve"> 12.5 (</w:t>
      </w:r>
      <w:proofErr w:type="spellStart"/>
      <w:r w:rsidRPr="00D55005">
        <w:rPr>
          <w:color w:val="auto"/>
        </w:rPr>
        <w:t>Systat</w:t>
      </w:r>
      <w:proofErr w:type="spellEnd"/>
      <w:r w:rsidRPr="00D55005">
        <w:rPr>
          <w:color w:val="auto"/>
        </w:rPr>
        <w:t xml:space="preserve"> Software, San Jose, CA).</w:t>
      </w:r>
    </w:p>
    <w:p w14:paraId="02FEB7FA" w14:textId="77777777" w:rsidR="00D55005" w:rsidRDefault="00D55005">
      <w:pPr>
        <w:spacing w:after="0" w:line="240" w:lineRule="auto"/>
        <w:rPr>
          <w:b/>
          <w:bCs/>
          <w:caps/>
          <w:color w:val="4C7329"/>
          <w:sz w:val="22"/>
        </w:rPr>
      </w:pPr>
      <w:r>
        <w:br w:type="page"/>
      </w:r>
    </w:p>
    <w:p w14:paraId="1CB8FA96" w14:textId="0A914B34" w:rsidR="00246C16" w:rsidRDefault="0073493A" w:rsidP="00E32351">
      <w:pPr>
        <w:pStyle w:val="Heading1"/>
        <w:spacing w:line="240" w:lineRule="atLeast"/>
      </w:pPr>
      <w:bookmarkStart w:id="28" w:name="_Toc69979557"/>
      <w:r>
        <w:lastRenderedPageBreak/>
        <w:t>RESULTS</w:t>
      </w:r>
      <w:bookmarkEnd w:id="28"/>
    </w:p>
    <w:p w14:paraId="2EF1E7CF" w14:textId="77777777" w:rsidR="00560568" w:rsidRPr="00560568" w:rsidRDefault="00560568" w:rsidP="00560568">
      <w:pPr>
        <w:pStyle w:val="Heading2"/>
      </w:pPr>
      <w:bookmarkStart w:id="29" w:name="_Toc69979558"/>
      <w:r w:rsidRPr="00560568">
        <w:t xml:space="preserve">Accuracy and precision of a portable </w:t>
      </w:r>
      <w:proofErr w:type="spellStart"/>
      <w:r w:rsidRPr="00560568">
        <w:t>colourimeter</w:t>
      </w:r>
      <w:bookmarkEnd w:id="29"/>
      <w:proofErr w:type="spellEnd"/>
    </w:p>
    <w:p w14:paraId="1156CA44" w14:textId="77777777" w:rsidR="00560568" w:rsidRPr="00560568" w:rsidRDefault="00560568" w:rsidP="00560568">
      <w:pPr>
        <w:pStyle w:val="Heading3"/>
      </w:pPr>
      <w:bookmarkStart w:id="30" w:name="_Toc69979559"/>
      <w:r w:rsidRPr="00560568">
        <w:t xml:space="preserve">Calibration of </w:t>
      </w:r>
      <w:proofErr w:type="spellStart"/>
      <w:r w:rsidRPr="00560568">
        <w:t>colour</w:t>
      </w:r>
      <w:proofErr w:type="spellEnd"/>
      <w:r w:rsidRPr="00560568">
        <w:t xml:space="preserve"> attributes</w:t>
      </w:r>
      <w:bookmarkEnd w:id="30"/>
    </w:p>
    <w:p w14:paraId="499A52EB" w14:textId="77777777" w:rsidR="00560568" w:rsidRPr="00560568" w:rsidRDefault="00560568" w:rsidP="00560568">
      <w:pPr>
        <w:pStyle w:val="Agbodytext"/>
        <w:spacing w:line="240" w:lineRule="atLeast"/>
        <w:rPr>
          <w:szCs w:val="20"/>
        </w:rPr>
      </w:pPr>
      <w:r w:rsidRPr="00560568">
        <w:rPr>
          <w:szCs w:val="20"/>
        </w:rPr>
        <w:t xml:space="preserve">The uncalibrated </w:t>
      </w:r>
      <w:proofErr w:type="spellStart"/>
      <w:r w:rsidRPr="00560568">
        <w:rPr>
          <w:szCs w:val="20"/>
        </w:rPr>
        <w:t>colourimeter’s</w:t>
      </w:r>
      <w:proofErr w:type="spellEnd"/>
      <w:r w:rsidRPr="00560568">
        <w:rPr>
          <w:szCs w:val="20"/>
        </w:rPr>
        <w:t xml:space="preserve"> L*, a* and b* were related to the reference L*, a* and b* — i.e. obtained with the spectrophotometer — by quadratic relationships, as suggested by scatterplots in Figure 3. The quadratic models had R2 &gt; 0.9 (Table 1) and were used to calibrate the L*, a* and b* measurements obtained with the </w:t>
      </w:r>
      <w:proofErr w:type="spellStart"/>
      <w:r w:rsidRPr="00560568">
        <w:rPr>
          <w:szCs w:val="20"/>
        </w:rPr>
        <w:t>colourimeter</w:t>
      </w:r>
      <w:proofErr w:type="spellEnd"/>
      <w:r w:rsidRPr="00560568">
        <w:rPr>
          <w:szCs w:val="20"/>
        </w:rPr>
        <w:t xml:space="preserve"> from the uncalibrated readings (i.e. L*u, a*u and b*u). The calibration algorithms were loaded onto the </w:t>
      </w:r>
      <w:proofErr w:type="spellStart"/>
      <w:r w:rsidRPr="00560568">
        <w:rPr>
          <w:szCs w:val="20"/>
        </w:rPr>
        <w:t>colourimeter’s</w:t>
      </w:r>
      <w:proofErr w:type="spellEnd"/>
      <w:r w:rsidRPr="00560568">
        <w:rPr>
          <w:szCs w:val="20"/>
        </w:rPr>
        <w:t xml:space="preserve"> firmware so that the output data was pre-processed with the correction.</w:t>
      </w:r>
    </w:p>
    <w:p w14:paraId="02D9EE68" w14:textId="77777777" w:rsidR="00560568" w:rsidRPr="00560568" w:rsidRDefault="00560568" w:rsidP="00560568">
      <w:pPr>
        <w:pStyle w:val="Heading3"/>
      </w:pPr>
      <w:bookmarkStart w:id="31" w:name="_Toc69979560"/>
      <w:r w:rsidRPr="00560568">
        <w:t xml:space="preserve">Validation of </w:t>
      </w:r>
      <w:proofErr w:type="spellStart"/>
      <w:r w:rsidRPr="00560568">
        <w:t>colour</w:t>
      </w:r>
      <w:proofErr w:type="spellEnd"/>
      <w:r w:rsidRPr="00560568">
        <w:t xml:space="preserve"> attributes</w:t>
      </w:r>
      <w:bookmarkEnd w:id="31"/>
    </w:p>
    <w:p w14:paraId="7D9BCCF7" w14:textId="77777777" w:rsidR="00560568" w:rsidRPr="00560568" w:rsidRDefault="00560568" w:rsidP="00560568">
      <w:pPr>
        <w:pStyle w:val="Agbodytext"/>
        <w:spacing w:line="240" w:lineRule="atLeast"/>
        <w:rPr>
          <w:szCs w:val="20"/>
        </w:rPr>
      </w:pPr>
      <w:r w:rsidRPr="00560568">
        <w:rPr>
          <w:szCs w:val="20"/>
        </w:rPr>
        <w:t xml:space="preserve">Predicted values of L*, a* and b* in the validation samples were very similar to the reference spectrophotometer’s values (Figure 4). In fact, a </w:t>
      </w:r>
      <w:proofErr w:type="spellStart"/>
      <w:r w:rsidRPr="00560568">
        <w:rPr>
          <w:szCs w:val="20"/>
        </w:rPr>
        <w:t>rc</w:t>
      </w:r>
      <w:proofErr w:type="spellEnd"/>
      <w:r w:rsidRPr="00560568">
        <w:rPr>
          <w:szCs w:val="20"/>
        </w:rPr>
        <w:t xml:space="preserve"> &gt; 0.90 was observed when testing precision and accuracy of L*, a* and b* prediction (Table 2), meaning that the predicted data aligned satisfactorily with reference observations. A little curvature of the relationship persisted in the low portion of L* data (L* &lt; 40) since the calibration was done with a sample that lacked L* values in the 20 – 40 range. However, the RMSE suggested that the prediction accuracy error remained relatively low even for L* (Table 2). This confirmed the suitability of the portable Bluetooth </w:t>
      </w:r>
      <w:proofErr w:type="spellStart"/>
      <w:r w:rsidRPr="00560568">
        <w:rPr>
          <w:szCs w:val="20"/>
        </w:rPr>
        <w:t>colourimeter</w:t>
      </w:r>
      <w:proofErr w:type="spellEnd"/>
      <w:r w:rsidRPr="00560568">
        <w:rPr>
          <w:szCs w:val="20"/>
        </w:rPr>
        <w:t xml:space="preserve"> for rapid skin </w:t>
      </w:r>
      <w:proofErr w:type="spellStart"/>
      <w:r w:rsidRPr="00560568">
        <w:rPr>
          <w:szCs w:val="20"/>
        </w:rPr>
        <w:t>colour</w:t>
      </w:r>
      <w:proofErr w:type="spellEnd"/>
      <w:r w:rsidRPr="00560568">
        <w:rPr>
          <w:szCs w:val="20"/>
        </w:rPr>
        <w:t xml:space="preserve"> assessments in peaches, plums, nectarines and apricots.</w:t>
      </w:r>
    </w:p>
    <w:p w14:paraId="5D1320FC" w14:textId="34AEB089" w:rsidR="00560568" w:rsidRDefault="00560568" w:rsidP="00560568">
      <w:pPr>
        <w:pStyle w:val="Agbodytext"/>
        <w:spacing w:line="240" w:lineRule="atLeast"/>
        <w:jc w:val="center"/>
        <w:rPr>
          <w:szCs w:val="20"/>
        </w:rPr>
      </w:pPr>
      <w:r w:rsidRPr="0039386C">
        <w:rPr>
          <w:noProof/>
          <w:lang w:val="en-AU"/>
        </w:rPr>
        <w:drawing>
          <wp:inline distT="0" distB="635" distL="0" distR="0" wp14:anchorId="2CB73A4F" wp14:editId="70B6A30F">
            <wp:extent cx="4400550" cy="453326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23"/>
                    <a:stretch>
                      <a:fillRect/>
                    </a:stretch>
                  </pic:blipFill>
                  <pic:spPr bwMode="auto">
                    <a:xfrm>
                      <a:off x="0" y="0"/>
                      <a:ext cx="4400550" cy="4533265"/>
                    </a:xfrm>
                    <a:prstGeom prst="rect">
                      <a:avLst/>
                    </a:prstGeom>
                  </pic:spPr>
                </pic:pic>
              </a:graphicData>
            </a:graphic>
          </wp:inline>
        </w:drawing>
      </w:r>
    </w:p>
    <w:p w14:paraId="1209554C" w14:textId="77777777" w:rsidR="00560568" w:rsidRPr="00560568" w:rsidRDefault="00560568" w:rsidP="00560568">
      <w:pPr>
        <w:pStyle w:val="Agbodytext"/>
        <w:spacing w:line="240" w:lineRule="atLeast"/>
        <w:rPr>
          <w:szCs w:val="20"/>
        </w:rPr>
      </w:pPr>
      <w:r w:rsidRPr="00560568">
        <w:rPr>
          <w:szCs w:val="20"/>
        </w:rPr>
        <w:t xml:space="preserve">Figure 3. Scatter plots of uncalibrated </w:t>
      </w:r>
      <w:proofErr w:type="spellStart"/>
      <w:r w:rsidRPr="00560568">
        <w:rPr>
          <w:szCs w:val="20"/>
        </w:rPr>
        <w:t>colourimeter’s</w:t>
      </w:r>
      <w:proofErr w:type="spellEnd"/>
      <w:r w:rsidRPr="00560568">
        <w:rPr>
          <w:szCs w:val="20"/>
        </w:rPr>
        <w:t xml:space="preserve"> L* (L*u, A), a* (a*u, B) and b* (b*u, C) against reference spectrophotometer’s L*, a and b* done on 115 </w:t>
      </w:r>
      <w:proofErr w:type="spellStart"/>
      <w:r w:rsidRPr="00560568">
        <w:rPr>
          <w:szCs w:val="20"/>
        </w:rPr>
        <w:t>colour</w:t>
      </w:r>
      <w:proofErr w:type="spellEnd"/>
      <w:r w:rsidRPr="00560568">
        <w:rPr>
          <w:szCs w:val="20"/>
        </w:rPr>
        <w:t xml:space="preserve"> cards (calibration set).</w:t>
      </w:r>
    </w:p>
    <w:p w14:paraId="0B19F28B" w14:textId="77777777" w:rsidR="00560568" w:rsidRPr="00560568" w:rsidRDefault="00560568" w:rsidP="00560568">
      <w:pPr>
        <w:pStyle w:val="Agbodytext"/>
        <w:spacing w:line="240" w:lineRule="atLeast"/>
        <w:rPr>
          <w:szCs w:val="20"/>
        </w:rPr>
      </w:pPr>
    </w:p>
    <w:p w14:paraId="7D7A7F3B" w14:textId="5D6EE78D" w:rsidR="00560568" w:rsidRDefault="00560568" w:rsidP="00560568">
      <w:pPr>
        <w:pStyle w:val="Agbodytext"/>
        <w:spacing w:line="240" w:lineRule="atLeast"/>
        <w:rPr>
          <w:szCs w:val="20"/>
        </w:rPr>
      </w:pPr>
      <w:r w:rsidRPr="00560568">
        <w:rPr>
          <w:szCs w:val="20"/>
        </w:rPr>
        <w:lastRenderedPageBreak/>
        <w:t xml:space="preserve">Table 1. Quadratic equations used to calibrate the uncalibrated </w:t>
      </w:r>
      <w:proofErr w:type="spellStart"/>
      <w:r w:rsidRPr="00560568">
        <w:rPr>
          <w:szCs w:val="20"/>
        </w:rPr>
        <w:t>colourimeter’s</w:t>
      </w:r>
      <w:proofErr w:type="spellEnd"/>
      <w:r w:rsidRPr="00560568">
        <w:rPr>
          <w:szCs w:val="20"/>
        </w:rPr>
        <w:t xml:space="preserve"> L* (L*u), a* (a*u) and b* (b*u) against reference spectrophotometer’s L*, a* and b*. Coefficient of determination (R2), significance level (p) and sample size reported.</w:t>
      </w:r>
    </w:p>
    <w:tbl>
      <w:tblPr>
        <w:tblStyle w:val="TableGrid"/>
        <w:tblW w:w="8009" w:type="dxa"/>
        <w:jc w:val="center"/>
        <w:tblLook w:val="04A0" w:firstRow="1" w:lastRow="0" w:firstColumn="1" w:lastColumn="0" w:noHBand="0" w:noVBand="1"/>
      </w:tblPr>
      <w:tblGrid>
        <w:gridCol w:w="1295"/>
        <w:gridCol w:w="4091"/>
        <w:gridCol w:w="761"/>
        <w:gridCol w:w="1047"/>
        <w:gridCol w:w="815"/>
      </w:tblGrid>
      <w:tr w:rsidR="00E0338C" w:rsidRPr="00E0338C" w14:paraId="703A17EB" w14:textId="77777777" w:rsidTr="00CF2DC3">
        <w:trPr>
          <w:jc w:val="center"/>
        </w:trPr>
        <w:tc>
          <w:tcPr>
            <w:tcW w:w="1295" w:type="dxa"/>
            <w:tcBorders>
              <w:left w:val="nil"/>
              <w:right w:val="nil"/>
            </w:tcBorders>
            <w:shd w:val="clear" w:color="auto" w:fill="auto"/>
            <w:vAlign w:val="center"/>
          </w:tcPr>
          <w:p w14:paraId="7E3231A5" w14:textId="77777777" w:rsidR="00E0338C" w:rsidRPr="00E0338C" w:rsidRDefault="00E0338C" w:rsidP="00E0338C">
            <w:pPr>
              <w:pStyle w:val="Agbodytext"/>
              <w:spacing w:line="240" w:lineRule="atLeast"/>
              <w:rPr>
                <w:b/>
                <w:bCs/>
                <w:szCs w:val="20"/>
                <w:lang w:val="en-AU"/>
              </w:rPr>
            </w:pPr>
            <w:r w:rsidRPr="00E0338C">
              <w:rPr>
                <w:b/>
                <w:bCs/>
                <w:szCs w:val="20"/>
                <w:lang w:val="en-AU"/>
              </w:rPr>
              <w:t>Colour parameter</w:t>
            </w:r>
          </w:p>
        </w:tc>
        <w:tc>
          <w:tcPr>
            <w:tcW w:w="4091" w:type="dxa"/>
            <w:tcBorders>
              <w:left w:val="nil"/>
              <w:right w:val="nil"/>
            </w:tcBorders>
            <w:shd w:val="clear" w:color="auto" w:fill="auto"/>
            <w:vAlign w:val="center"/>
          </w:tcPr>
          <w:p w14:paraId="66A7833F" w14:textId="77777777" w:rsidR="00E0338C" w:rsidRPr="00E0338C" w:rsidRDefault="00E0338C" w:rsidP="00E0338C">
            <w:pPr>
              <w:pStyle w:val="Agbodytext"/>
              <w:spacing w:line="240" w:lineRule="atLeast"/>
              <w:rPr>
                <w:b/>
                <w:bCs/>
                <w:szCs w:val="20"/>
                <w:lang w:val="en-AU"/>
              </w:rPr>
            </w:pPr>
            <w:r w:rsidRPr="00E0338C">
              <w:rPr>
                <w:b/>
                <w:bCs/>
                <w:szCs w:val="20"/>
                <w:lang w:val="en-AU"/>
              </w:rPr>
              <w:t>Equation</w:t>
            </w:r>
          </w:p>
        </w:tc>
        <w:tc>
          <w:tcPr>
            <w:tcW w:w="761" w:type="dxa"/>
            <w:tcBorders>
              <w:left w:val="nil"/>
              <w:right w:val="nil"/>
            </w:tcBorders>
            <w:shd w:val="clear" w:color="auto" w:fill="auto"/>
            <w:vAlign w:val="center"/>
          </w:tcPr>
          <w:p w14:paraId="4362EEEA" w14:textId="77777777" w:rsidR="00E0338C" w:rsidRPr="00E0338C" w:rsidRDefault="00E0338C" w:rsidP="00E0338C">
            <w:pPr>
              <w:pStyle w:val="Agbodytext"/>
              <w:spacing w:line="240" w:lineRule="atLeast"/>
              <w:rPr>
                <w:b/>
                <w:bCs/>
                <w:szCs w:val="20"/>
                <w:lang w:val="en-AU"/>
              </w:rPr>
            </w:pPr>
            <w:r w:rsidRPr="00E0338C">
              <w:rPr>
                <w:b/>
                <w:bCs/>
                <w:i/>
                <w:iCs/>
                <w:szCs w:val="20"/>
                <w:lang w:val="en-AU"/>
              </w:rPr>
              <w:t>R</w:t>
            </w:r>
            <w:r w:rsidRPr="00E0338C">
              <w:rPr>
                <w:b/>
                <w:bCs/>
                <w:szCs w:val="20"/>
                <w:vertAlign w:val="superscript"/>
                <w:lang w:val="en-AU"/>
              </w:rPr>
              <w:t>2</w:t>
            </w:r>
          </w:p>
        </w:tc>
        <w:tc>
          <w:tcPr>
            <w:tcW w:w="1047" w:type="dxa"/>
            <w:tcBorders>
              <w:left w:val="nil"/>
              <w:right w:val="nil"/>
            </w:tcBorders>
            <w:shd w:val="clear" w:color="auto" w:fill="auto"/>
            <w:vAlign w:val="center"/>
          </w:tcPr>
          <w:p w14:paraId="4574577B" w14:textId="77777777" w:rsidR="00E0338C" w:rsidRPr="00E0338C" w:rsidRDefault="00E0338C" w:rsidP="00E0338C">
            <w:pPr>
              <w:pStyle w:val="Agbodytext"/>
              <w:spacing w:line="240" w:lineRule="atLeast"/>
              <w:rPr>
                <w:b/>
                <w:bCs/>
                <w:szCs w:val="20"/>
                <w:lang w:val="en-AU"/>
              </w:rPr>
            </w:pPr>
            <w:r w:rsidRPr="00E0338C">
              <w:rPr>
                <w:b/>
                <w:bCs/>
                <w:i/>
                <w:iCs/>
                <w:szCs w:val="20"/>
                <w:lang w:val="en-AU"/>
              </w:rPr>
              <w:t>p</w:t>
            </w:r>
          </w:p>
        </w:tc>
        <w:tc>
          <w:tcPr>
            <w:tcW w:w="815" w:type="dxa"/>
            <w:tcBorders>
              <w:left w:val="nil"/>
              <w:right w:val="nil"/>
            </w:tcBorders>
            <w:shd w:val="clear" w:color="auto" w:fill="auto"/>
            <w:vAlign w:val="center"/>
          </w:tcPr>
          <w:p w14:paraId="1B4CE6AC" w14:textId="77777777" w:rsidR="00E0338C" w:rsidRPr="00E0338C" w:rsidRDefault="00E0338C" w:rsidP="00E0338C">
            <w:pPr>
              <w:pStyle w:val="Agbodytext"/>
              <w:spacing w:line="240" w:lineRule="atLeast"/>
              <w:rPr>
                <w:b/>
                <w:bCs/>
                <w:szCs w:val="20"/>
                <w:lang w:val="en-AU"/>
              </w:rPr>
            </w:pPr>
            <w:r w:rsidRPr="00E0338C">
              <w:rPr>
                <w:b/>
                <w:bCs/>
                <w:szCs w:val="20"/>
                <w:lang w:val="en-AU"/>
              </w:rPr>
              <w:t>n</w:t>
            </w:r>
          </w:p>
        </w:tc>
      </w:tr>
      <w:tr w:rsidR="00E0338C" w:rsidRPr="00E0338C" w14:paraId="64F4B7BD" w14:textId="77777777" w:rsidTr="00CF2DC3">
        <w:trPr>
          <w:jc w:val="center"/>
        </w:trPr>
        <w:tc>
          <w:tcPr>
            <w:tcW w:w="1295" w:type="dxa"/>
            <w:tcBorders>
              <w:left w:val="nil"/>
              <w:bottom w:val="nil"/>
              <w:right w:val="nil"/>
            </w:tcBorders>
            <w:shd w:val="clear" w:color="auto" w:fill="auto"/>
            <w:vAlign w:val="center"/>
          </w:tcPr>
          <w:p w14:paraId="7FB47E7D" w14:textId="77777777" w:rsidR="00E0338C" w:rsidRPr="00E0338C" w:rsidRDefault="00E0338C" w:rsidP="00E0338C">
            <w:pPr>
              <w:pStyle w:val="Agbodytext"/>
              <w:spacing w:line="240" w:lineRule="atLeast"/>
              <w:rPr>
                <w:szCs w:val="20"/>
                <w:lang w:val="en-AU"/>
              </w:rPr>
            </w:pPr>
            <w:r w:rsidRPr="00E0338C">
              <w:rPr>
                <w:szCs w:val="20"/>
                <w:lang w:val="en-AU"/>
              </w:rPr>
              <w:t>L</w:t>
            </w:r>
            <w:r w:rsidRPr="00E0338C">
              <w:rPr>
                <w:szCs w:val="20"/>
                <w:vertAlign w:val="superscript"/>
                <w:lang w:val="en-AU"/>
              </w:rPr>
              <w:t>*</w:t>
            </w:r>
          </w:p>
        </w:tc>
        <w:tc>
          <w:tcPr>
            <w:tcW w:w="4091" w:type="dxa"/>
            <w:tcBorders>
              <w:left w:val="nil"/>
              <w:bottom w:val="nil"/>
              <w:right w:val="nil"/>
            </w:tcBorders>
            <w:shd w:val="clear" w:color="auto" w:fill="auto"/>
            <w:vAlign w:val="center"/>
          </w:tcPr>
          <w:p w14:paraId="4A6585CF" w14:textId="77777777" w:rsidR="00E0338C" w:rsidRPr="00E0338C" w:rsidRDefault="00E0338C" w:rsidP="00E0338C">
            <w:pPr>
              <w:pStyle w:val="Agbodytext"/>
              <w:spacing w:line="240" w:lineRule="atLeast"/>
              <w:rPr>
                <w:szCs w:val="20"/>
                <w:lang w:val="en-AU"/>
              </w:rPr>
            </w:pPr>
            <w:r w:rsidRPr="00E0338C">
              <w:rPr>
                <w:szCs w:val="20"/>
                <w:lang w:val="en-AU"/>
              </w:rPr>
              <w:t>L</w:t>
            </w:r>
            <w:r w:rsidRPr="00E0338C">
              <w:rPr>
                <w:szCs w:val="20"/>
                <w:vertAlign w:val="superscript"/>
                <w:lang w:val="en-AU"/>
              </w:rPr>
              <w:t>*</w:t>
            </w:r>
            <w:r w:rsidRPr="00E0338C">
              <w:rPr>
                <w:szCs w:val="20"/>
                <w:lang w:val="en-AU"/>
              </w:rPr>
              <w:t xml:space="preserve"> = − (0.04 L</w:t>
            </w:r>
            <w:r w:rsidRPr="00E0338C">
              <w:rPr>
                <w:szCs w:val="20"/>
                <w:vertAlign w:val="superscript"/>
                <w:lang w:val="en-AU"/>
              </w:rPr>
              <w:t>*</w:t>
            </w:r>
            <w:r w:rsidRPr="00E0338C">
              <w:rPr>
                <w:szCs w:val="20"/>
                <w:vertAlign w:val="subscript"/>
                <w:lang w:val="en-AU"/>
              </w:rPr>
              <w:t>u</w:t>
            </w:r>
            <w:r w:rsidRPr="00E0338C">
              <w:rPr>
                <w:szCs w:val="20"/>
                <w:vertAlign w:val="superscript"/>
                <w:lang w:val="en-AU"/>
              </w:rPr>
              <w:t>2</w:t>
            </w:r>
            <w:r w:rsidRPr="00E0338C">
              <w:rPr>
                <w:szCs w:val="20"/>
                <w:lang w:val="en-AU"/>
              </w:rPr>
              <w:t>) + (3.91 L</w:t>
            </w:r>
            <w:r w:rsidRPr="00E0338C">
              <w:rPr>
                <w:szCs w:val="20"/>
                <w:vertAlign w:val="superscript"/>
                <w:lang w:val="en-AU"/>
              </w:rPr>
              <w:t>*</w:t>
            </w:r>
            <w:r w:rsidRPr="00E0338C">
              <w:rPr>
                <w:szCs w:val="20"/>
                <w:vertAlign w:val="subscript"/>
                <w:lang w:val="en-AU"/>
              </w:rPr>
              <w:t>u</w:t>
            </w:r>
            <w:r w:rsidRPr="00E0338C">
              <w:rPr>
                <w:szCs w:val="20"/>
                <w:lang w:val="en-AU"/>
              </w:rPr>
              <w:t>) + 1.58</w:t>
            </w:r>
          </w:p>
        </w:tc>
        <w:tc>
          <w:tcPr>
            <w:tcW w:w="761" w:type="dxa"/>
            <w:tcBorders>
              <w:left w:val="nil"/>
              <w:bottom w:val="nil"/>
              <w:right w:val="nil"/>
            </w:tcBorders>
            <w:shd w:val="clear" w:color="auto" w:fill="auto"/>
            <w:vAlign w:val="center"/>
          </w:tcPr>
          <w:p w14:paraId="33CB2E8A" w14:textId="77777777" w:rsidR="00E0338C" w:rsidRPr="00E0338C" w:rsidRDefault="00E0338C" w:rsidP="00E0338C">
            <w:pPr>
              <w:pStyle w:val="Agbodytext"/>
              <w:spacing w:line="240" w:lineRule="atLeast"/>
              <w:rPr>
                <w:szCs w:val="20"/>
                <w:lang w:val="en-AU"/>
              </w:rPr>
            </w:pPr>
            <w:r w:rsidRPr="00E0338C">
              <w:rPr>
                <w:szCs w:val="20"/>
                <w:lang w:val="en-AU"/>
              </w:rPr>
              <w:t>0.947</w:t>
            </w:r>
          </w:p>
        </w:tc>
        <w:tc>
          <w:tcPr>
            <w:tcW w:w="1047" w:type="dxa"/>
            <w:tcBorders>
              <w:left w:val="nil"/>
              <w:bottom w:val="nil"/>
              <w:right w:val="nil"/>
            </w:tcBorders>
            <w:shd w:val="clear" w:color="auto" w:fill="auto"/>
            <w:vAlign w:val="center"/>
          </w:tcPr>
          <w:p w14:paraId="14C543E5" w14:textId="77777777" w:rsidR="00E0338C" w:rsidRPr="00E0338C" w:rsidRDefault="00E0338C" w:rsidP="00E0338C">
            <w:pPr>
              <w:pStyle w:val="Agbodytext"/>
              <w:spacing w:line="240" w:lineRule="atLeast"/>
              <w:rPr>
                <w:szCs w:val="20"/>
                <w:lang w:val="en-AU"/>
              </w:rPr>
            </w:pPr>
            <w:r w:rsidRPr="00E0338C">
              <w:rPr>
                <w:szCs w:val="20"/>
                <w:lang w:val="en-AU"/>
              </w:rPr>
              <w:t>&lt;0.001</w:t>
            </w:r>
          </w:p>
        </w:tc>
        <w:tc>
          <w:tcPr>
            <w:tcW w:w="815" w:type="dxa"/>
            <w:tcBorders>
              <w:left w:val="nil"/>
              <w:bottom w:val="nil"/>
              <w:right w:val="nil"/>
            </w:tcBorders>
            <w:shd w:val="clear" w:color="auto" w:fill="auto"/>
            <w:vAlign w:val="center"/>
          </w:tcPr>
          <w:p w14:paraId="6ECA60E9" w14:textId="77777777" w:rsidR="00E0338C" w:rsidRPr="00E0338C" w:rsidRDefault="00E0338C" w:rsidP="00E0338C">
            <w:pPr>
              <w:pStyle w:val="Agbodytext"/>
              <w:spacing w:line="240" w:lineRule="atLeast"/>
              <w:rPr>
                <w:szCs w:val="20"/>
                <w:lang w:val="en-AU"/>
              </w:rPr>
            </w:pPr>
            <w:r w:rsidRPr="00E0338C">
              <w:rPr>
                <w:szCs w:val="20"/>
                <w:lang w:val="en-AU"/>
              </w:rPr>
              <w:t>115</w:t>
            </w:r>
          </w:p>
        </w:tc>
      </w:tr>
      <w:tr w:rsidR="00E0338C" w:rsidRPr="00E0338C" w14:paraId="219CC00D" w14:textId="77777777" w:rsidTr="00CF2DC3">
        <w:trPr>
          <w:jc w:val="center"/>
        </w:trPr>
        <w:tc>
          <w:tcPr>
            <w:tcW w:w="1295" w:type="dxa"/>
            <w:tcBorders>
              <w:top w:val="nil"/>
              <w:left w:val="nil"/>
              <w:bottom w:val="nil"/>
              <w:right w:val="nil"/>
            </w:tcBorders>
            <w:shd w:val="clear" w:color="auto" w:fill="auto"/>
            <w:vAlign w:val="center"/>
          </w:tcPr>
          <w:p w14:paraId="1B39B97C" w14:textId="77777777" w:rsidR="00E0338C" w:rsidRPr="00E0338C" w:rsidRDefault="00E0338C" w:rsidP="00E0338C">
            <w:pPr>
              <w:pStyle w:val="Agbodytext"/>
              <w:spacing w:line="240" w:lineRule="atLeast"/>
              <w:rPr>
                <w:szCs w:val="20"/>
                <w:lang w:val="en-AU"/>
              </w:rPr>
            </w:pPr>
            <w:r w:rsidRPr="00E0338C">
              <w:rPr>
                <w:szCs w:val="20"/>
                <w:lang w:val="en-AU"/>
              </w:rPr>
              <w:t>a</w:t>
            </w:r>
            <w:r w:rsidRPr="00E0338C">
              <w:rPr>
                <w:szCs w:val="20"/>
                <w:vertAlign w:val="superscript"/>
                <w:lang w:val="en-AU"/>
              </w:rPr>
              <w:t>*</w:t>
            </w:r>
          </w:p>
        </w:tc>
        <w:tc>
          <w:tcPr>
            <w:tcW w:w="4091" w:type="dxa"/>
            <w:tcBorders>
              <w:top w:val="nil"/>
              <w:left w:val="nil"/>
              <w:bottom w:val="nil"/>
              <w:right w:val="nil"/>
            </w:tcBorders>
            <w:shd w:val="clear" w:color="auto" w:fill="auto"/>
            <w:vAlign w:val="center"/>
          </w:tcPr>
          <w:p w14:paraId="108D8C23" w14:textId="19F8D023" w:rsidR="00E0338C" w:rsidRPr="00E0338C" w:rsidRDefault="00E0338C" w:rsidP="00E0338C">
            <w:pPr>
              <w:pStyle w:val="Agbodytext"/>
              <w:spacing w:line="240" w:lineRule="atLeast"/>
              <w:rPr>
                <w:szCs w:val="20"/>
                <w:lang w:val="en-AU"/>
              </w:rPr>
            </w:pPr>
            <w:r w:rsidRPr="00E0338C">
              <w:rPr>
                <w:szCs w:val="20"/>
                <w:lang w:val="en-AU"/>
              </w:rPr>
              <w:t>a</w:t>
            </w:r>
            <w:r w:rsidRPr="00E0338C">
              <w:rPr>
                <w:szCs w:val="20"/>
                <w:vertAlign w:val="superscript"/>
                <w:lang w:val="en-AU"/>
              </w:rPr>
              <w:t>*</w:t>
            </w:r>
            <w:r w:rsidRPr="00E0338C">
              <w:rPr>
                <w:szCs w:val="20"/>
                <w:lang w:val="en-AU"/>
              </w:rPr>
              <w:t xml:space="preserve"> = − (1.87 a</w:t>
            </w:r>
            <w:r w:rsidRPr="00E0338C">
              <w:rPr>
                <w:szCs w:val="20"/>
                <w:vertAlign w:val="superscript"/>
                <w:lang w:val="en-AU"/>
              </w:rPr>
              <w:t>*</w:t>
            </w:r>
            <w:r w:rsidRPr="00E0338C">
              <w:rPr>
                <w:szCs w:val="20"/>
                <w:vertAlign w:val="subscript"/>
                <w:lang w:val="en-AU"/>
              </w:rPr>
              <w:t>u</w:t>
            </w:r>
            <w:r w:rsidRPr="00E0338C">
              <w:rPr>
                <w:szCs w:val="20"/>
                <w:vertAlign w:val="superscript"/>
                <w:lang w:val="en-AU"/>
              </w:rPr>
              <w:t>2</w:t>
            </w:r>
            <w:r w:rsidRPr="00E0338C">
              <w:rPr>
                <w:szCs w:val="20"/>
                <w:lang w:val="en-AU"/>
              </w:rPr>
              <w:t>) + (22.91 a</w:t>
            </w:r>
            <w:r w:rsidRPr="00E0338C">
              <w:rPr>
                <w:szCs w:val="20"/>
                <w:vertAlign w:val="superscript"/>
                <w:lang w:val="en-AU"/>
              </w:rPr>
              <w:t>*</w:t>
            </w:r>
            <w:r w:rsidRPr="00E0338C">
              <w:rPr>
                <w:szCs w:val="20"/>
                <w:vertAlign w:val="subscript"/>
                <w:lang w:val="en-AU"/>
              </w:rPr>
              <w:t>u</w:t>
            </w:r>
            <w:r w:rsidRPr="00E0338C">
              <w:rPr>
                <w:szCs w:val="20"/>
                <w:lang w:val="en-AU"/>
              </w:rPr>
              <w:t>) + 5.87</w:t>
            </w:r>
          </w:p>
        </w:tc>
        <w:tc>
          <w:tcPr>
            <w:tcW w:w="761" w:type="dxa"/>
            <w:tcBorders>
              <w:top w:val="nil"/>
              <w:left w:val="nil"/>
              <w:bottom w:val="nil"/>
              <w:right w:val="nil"/>
            </w:tcBorders>
            <w:shd w:val="clear" w:color="auto" w:fill="auto"/>
            <w:vAlign w:val="center"/>
          </w:tcPr>
          <w:p w14:paraId="2145D623" w14:textId="77777777" w:rsidR="00E0338C" w:rsidRPr="00E0338C" w:rsidRDefault="00E0338C" w:rsidP="00E0338C">
            <w:pPr>
              <w:pStyle w:val="Agbodytext"/>
              <w:spacing w:line="240" w:lineRule="atLeast"/>
              <w:rPr>
                <w:szCs w:val="20"/>
                <w:lang w:val="en-AU"/>
              </w:rPr>
            </w:pPr>
            <w:r w:rsidRPr="00E0338C">
              <w:rPr>
                <w:szCs w:val="20"/>
                <w:lang w:val="en-AU"/>
              </w:rPr>
              <w:t>0.976</w:t>
            </w:r>
          </w:p>
        </w:tc>
        <w:tc>
          <w:tcPr>
            <w:tcW w:w="1047" w:type="dxa"/>
            <w:tcBorders>
              <w:top w:val="nil"/>
              <w:left w:val="nil"/>
              <w:bottom w:val="nil"/>
              <w:right w:val="nil"/>
            </w:tcBorders>
            <w:shd w:val="clear" w:color="auto" w:fill="auto"/>
            <w:vAlign w:val="center"/>
          </w:tcPr>
          <w:p w14:paraId="0F34B1C4" w14:textId="77777777" w:rsidR="00E0338C" w:rsidRPr="00E0338C" w:rsidRDefault="00E0338C" w:rsidP="00E0338C">
            <w:pPr>
              <w:pStyle w:val="Agbodytext"/>
              <w:spacing w:line="240" w:lineRule="atLeast"/>
              <w:rPr>
                <w:szCs w:val="20"/>
                <w:lang w:val="en-AU"/>
              </w:rPr>
            </w:pPr>
            <w:r w:rsidRPr="00E0338C">
              <w:rPr>
                <w:szCs w:val="20"/>
                <w:lang w:val="en-AU"/>
              </w:rPr>
              <w:t>&lt;0.001</w:t>
            </w:r>
          </w:p>
        </w:tc>
        <w:tc>
          <w:tcPr>
            <w:tcW w:w="815" w:type="dxa"/>
            <w:tcBorders>
              <w:top w:val="nil"/>
              <w:left w:val="nil"/>
              <w:bottom w:val="nil"/>
              <w:right w:val="nil"/>
            </w:tcBorders>
            <w:shd w:val="clear" w:color="auto" w:fill="auto"/>
            <w:vAlign w:val="center"/>
          </w:tcPr>
          <w:p w14:paraId="739476C1" w14:textId="77777777" w:rsidR="00E0338C" w:rsidRPr="00E0338C" w:rsidRDefault="00E0338C" w:rsidP="00E0338C">
            <w:pPr>
              <w:pStyle w:val="Agbodytext"/>
              <w:spacing w:line="240" w:lineRule="atLeast"/>
              <w:rPr>
                <w:szCs w:val="20"/>
                <w:lang w:val="en-AU"/>
              </w:rPr>
            </w:pPr>
            <w:r w:rsidRPr="00E0338C">
              <w:rPr>
                <w:szCs w:val="20"/>
                <w:lang w:val="en-AU"/>
              </w:rPr>
              <w:t>115</w:t>
            </w:r>
          </w:p>
        </w:tc>
      </w:tr>
      <w:tr w:rsidR="00E0338C" w:rsidRPr="00E0338C" w14:paraId="2191B4B3" w14:textId="77777777" w:rsidTr="00CF2DC3">
        <w:trPr>
          <w:jc w:val="center"/>
        </w:trPr>
        <w:tc>
          <w:tcPr>
            <w:tcW w:w="1295" w:type="dxa"/>
            <w:tcBorders>
              <w:top w:val="nil"/>
              <w:left w:val="nil"/>
              <w:right w:val="nil"/>
            </w:tcBorders>
            <w:shd w:val="clear" w:color="auto" w:fill="auto"/>
            <w:vAlign w:val="center"/>
          </w:tcPr>
          <w:p w14:paraId="158088F8" w14:textId="77777777" w:rsidR="00E0338C" w:rsidRPr="00E0338C" w:rsidRDefault="00E0338C" w:rsidP="00E0338C">
            <w:pPr>
              <w:pStyle w:val="Agbodytext"/>
              <w:spacing w:line="240" w:lineRule="atLeast"/>
              <w:rPr>
                <w:szCs w:val="20"/>
                <w:lang w:val="en-AU"/>
              </w:rPr>
            </w:pPr>
            <w:r w:rsidRPr="00E0338C">
              <w:rPr>
                <w:szCs w:val="20"/>
                <w:lang w:val="en-AU"/>
              </w:rPr>
              <w:t>b</w:t>
            </w:r>
            <w:r w:rsidRPr="00E0338C">
              <w:rPr>
                <w:szCs w:val="20"/>
                <w:vertAlign w:val="superscript"/>
                <w:lang w:val="en-AU"/>
              </w:rPr>
              <w:t>*</w:t>
            </w:r>
          </w:p>
        </w:tc>
        <w:tc>
          <w:tcPr>
            <w:tcW w:w="4091" w:type="dxa"/>
            <w:tcBorders>
              <w:top w:val="nil"/>
              <w:left w:val="nil"/>
              <w:right w:val="nil"/>
            </w:tcBorders>
            <w:shd w:val="clear" w:color="auto" w:fill="auto"/>
            <w:vAlign w:val="center"/>
          </w:tcPr>
          <w:p w14:paraId="7F134830" w14:textId="79559F56" w:rsidR="00E0338C" w:rsidRPr="00E0338C" w:rsidRDefault="00E0338C" w:rsidP="00E0338C">
            <w:pPr>
              <w:pStyle w:val="Agbodytext"/>
              <w:spacing w:line="240" w:lineRule="atLeast"/>
              <w:rPr>
                <w:szCs w:val="20"/>
                <w:lang w:val="en-AU"/>
              </w:rPr>
            </w:pPr>
            <w:r w:rsidRPr="00E0338C">
              <w:rPr>
                <w:szCs w:val="20"/>
                <w:lang w:val="en-AU"/>
              </w:rPr>
              <w:t>b</w:t>
            </w:r>
            <w:r w:rsidRPr="00E0338C">
              <w:rPr>
                <w:szCs w:val="20"/>
                <w:vertAlign w:val="superscript"/>
                <w:lang w:val="en-AU"/>
              </w:rPr>
              <w:t>*</w:t>
            </w:r>
            <w:r w:rsidRPr="00E0338C">
              <w:rPr>
                <w:szCs w:val="20"/>
                <w:lang w:val="en-AU"/>
              </w:rPr>
              <w:t xml:space="preserve"> = (2.69 b</w:t>
            </w:r>
            <w:r w:rsidRPr="00E0338C">
              <w:rPr>
                <w:szCs w:val="20"/>
                <w:vertAlign w:val="superscript"/>
                <w:lang w:val="en-AU"/>
              </w:rPr>
              <w:t>*</w:t>
            </w:r>
            <w:r w:rsidRPr="00E0338C">
              <w:rPr>
                <w:szCs w:val="20"/>
                <w:vertAlign w:val="subscript"/>
                <w:lang w:val="en-AU"/>
              </w:rPr>
              <w:t>u</w:t>
            </w:r>
            <w:r w:rsidRPr="00E0338C">
              <w:rPr>
                <w:szCs w:val="20"/>
                <w:vertAlign w:val="superscript"/>
                <w:lang w:val="en-AU"/>
              </w:rPr>
              <w:t>2</w:t>
            </w:r>
            <w:r w:rsidRPr="00E0338C">
              <w:rPr>
                <w:szCs w:val="20"/>
                <w:lang w:val="en-AU"/>
              </w:rPr>
              <w:t>) + (26.14 b</w:t>
            </w:r>
            <w:r w:rsidRPr="00E0338C">
              <w:rPr>
                <w:szCs w:val="20"/>
                <w:vertAlign w:val="superscript"/>
                <w:lang w:val="en-AU"/>
              </w:rPr>
              <w:t>*</w:t>
            </w:r>
            <w:r w:rsidRPr="00E0338C">
              <w:rPr>
                <w:szCs w:val="20"/>
                <w:vertAlign w:val="subscript"/>
                <w:lang w:val="en-AU"/>
              </w:rPr>
              <w:t>u</w:t>
            </w:r>
            <w:r w:rsidRPr="00E0338C">
              <w:rPr>
                <w:szCs w:val="20"/>
                <w:lang w:val="en-AU"/>
              </w:rPr>
              <w:t>) − 12.03</w:t>
            </w:r>
          </w:p>
        </w:tc>
        <w:tc>
          <w:tcPr>
            <w:tcW w:w="761" w:type="dxa"/>
            <w:tcBorders>
              <w:top w:val="nil"/>
              <w:left w:val="nil"/>
              <w:right w:val="nil"/>
            </w:tcBorders>
            <w:shd w:val="clear" w:color="auto" w:fill="auto"/>
            <w:vAlign w:val="center"/>
          </w:tcPr>
          <w:p w14:paraId="21C55F30" w14:textId="77777777" w:rsidR="00E0338C" w:rsidRPr="00E0338C" w:rsidRDefault="00E0338C" w:rsidP="00E0338C">
            <w:pPr>
              <w:pStyle w:val="Agbodytext"/>
              <w:spacing w:line="240" w:lineRule="atLeast"/>
              <w:rPr>
                <w:szCs w:val="20"/>
                <w:lang w:val="en-AU"/>
              </w:rPr>
            </w:pPr>
            <w:r w:rsidRPr="00E0338C">
              <w:rPr>
                <w:szCs w:val="20"/>
                <w:lang w:val="en-AU"/>
              </w:rPr>
              <w:t>0.975</w:t>
            </w:r>
          </w:p>
        </w:tc>
        <w:tc>
          <w:tcPr>
            <w:tcW w:w="1047" w:type="dxa"/>
            <w:tcBorders>
              <w:top w:val="nil"/>
              <w:left w:val="nil"/>
              <w:right w:val="nil"/>
            </w:tcBorders>
            <w:shd w:val="clear" w:color="auto" w:fill="auto"/>
            <w:vAlign w:val="center"/>
          </w:tcPr>
          <w:p w14:paraId="2BE170C2" w14:textId="77777777" w:rsidR="00E0338C" w:rsidRPr="00E0338C" w:rsidRDefault="00E0338C" w:rsidP="00E0338C">
            <w:pPr>
              <w:pStyle w:val="Agbodytext"/>
              <w:spacing w:line="240" w:lineRule="atLeast"/>
              <w:rPr>
                <w:szCs w:val="20"/>
                <w:lang w:val="en-AU"/>
              </w:rPr>
            </w:pPr>
            <w:r w:rsidRPr="00E0338C">
              <w:rPr>
                <w:szCs w:val="20"/>
                <w:lang w:val="en-AU"/>
              </w:rPr>
              <w:t>&lt;0.001</w:t>
            </w:r>
          </w:p>
        </w:tc>
        <w:tc>
          <w:tcPr>
            <w:tcW w:w="815" w:type="dxa"/>
            <w:tcBorders>
              <w:top w:val="nil"/>
              <w:left w:val="nil"/>
              <w:right w:val="nil"/>
            </w:tcBorders>
            <w:shd w:val="clear" w:color="auto" w:fill="auto"/>
            <w:vAlign w:val="center"/>
          </w:tcPr>
          <w:p w14:paraId="02AF7E6C" w14:textId="77777777" w:rsidR="00E0338C" w:rsidRPr="00E0338C" w:rsidRDefault="00E0338C" w:rsidP="00E0338C">
            <w:pPr>
              <w:pStyle w:val="Agbodytext"/>
              <w:spacing w:line="240" w:lineRule="atLeast"/>
              <w:rPr>
                <w:szCs w:val="20"/>
                <w:lang w:val="en-AU"/>
              </w:rPr>
            </w:pPr>
            <w:r w:rsidRPr="00E0338C">
              <w:rPr>
                <w:szCs w:val="20"/>
                <w:lang w:val="en-AU"/>
              </w:rPr>
              <w:t>115</w:t>
            </w:r>
          </w:p>
        </w:tc>
      </w:tr>
    </w:tbl>
    <w:p w14:paraId="2BB92C45" w14:textId="680D6B86" w:rsidR="00560568" w:rsidRDefault="00560568" w:rsidP="00560568">
      <w:pPr>
        <w:pStyle w:val="Agbodytext"/>
        <w:spacing w:line="240" w:lineRule="atLeast"/>
        <w:rPr>
          <w:szCs w:val="20"/>
        </w:rPr>
      </w:pPr>
    </w:p>
    <w:p w14:paraId="65E2F0E2" w14:textId="32DBB172" w:rsidR="00A5671E" w:rsidRPr="00560568" w:rsidRDefault="00A5671E" w:rsidP="00A5671E">
      <w:pPr>
        <w:pStyle w:val="Agbodytext"/>
        <w:spacing w:line="240" w:lineRule="atLeast"/>
        <w:jc w:val="center"/>
        <w:rPr>
          <w:szCs w:val="20"/>
        </w:rPr>
      </w:pPr>
      <w:r w:rsidRPr="0039386C">
        <w:rPr>
          <w:noProof/>
          <w:lang w:val="en-AU"/>
        </w:rPr>
        <w:drawing>
          <wp:inline distT="0" distB="0" distL="0" distR="0" wp14:anchorId="313340FA" wp14:editId="16507324">
            <wp:extent cx="4161155" cy="42875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4"/>
                    <a:stretch>
                      <a:fillRect/>
                    </a:stretch>
                  </pic:blipFill>
                  <pic:spPr bwMode="auto">
                    <a:xfrm>
                      <a:off x="0" y="0"/>
                      <a:ext cx="4161155" cy="4287520"/>
                    </a:xfrm>
                    <a:prstGeom prst="rect">
                      <a:avLst/>
                    </a:prstGeom>
                  </pic:spPr>
                </pic:pic>
              </a:graphicData>
            </a:graphic>
          </wp:inline>
        </w:drawing>
      </w:r>
    </w:p>
    <w:p w14:paraId="79E43020" w14:textId="77777777" w:rsidR="00560568" w:rsidRPr="00560568" w:rsidRDefault="00560568" w:rsidP="00560568">
      <w:pPr>
        <w:pStyle w:val="Agbodytext"/>
        <w:spacing w:line="240" w:lineRule="atLeast"/>
        <w:rPr>
          <w:szCs w:val="20"/>
        </w:rPr>
      </w:pPr>
      <w:r w:rsidRPr="00560568">
        <w:rPr>
          <w:szCs w:val="20"/>
        </w:rPr>
        <w:t xml:space="preserve">Figure 4. Scatter plots of validation datasets of </w:t>
      </w:r>
      <w:proofErr w:type="spellStart"/>
      <w:r w:rsidRPr="00560568">
        <w:rPr>
          <w:szCs w:val="20"/>
        </w:rPr>
        <w:t>colourimeter’s</w:t>
      </w:r>
      <w:proofErr w:type="spellEnd"/>
      <w:r w:rsidRPr="00560568">
        <w:rPr>
          <w:szCs w:val="20"/>
        </w:rPr>
        <w:t xml:space="preserve"> L* (A), a* (B) and b* (C) (predicted) against reference spectrophotometer’s L*, a* and b* (observed), respectively.</w:t>
      </w:r>
    </w:p>
    <w:p w14:paraId="0E0EE068" w14:textId="77777777" w:rsidR="00560568" w:rsidRPr="00560568" w:rsidRDefault="00560568" w:rsidP="00560568">
      <w:pPr>
        <w:pStyle w:val="Agbodytext"/>
        <w:spacing w:line="240" w:lineRule="atLeast"/>
        <w:rPr>
          <w:szCs w:val="20"/>
        </w:rPr>
      </w:pPr>
      <w:r w:rsidRPr="00560568">
        <w:rPr>
          <w:szCs w:val="20"/>
        </w:rPr>
        <w:t>Table 2. Lin’s concordance correlation coefficient (</w:t>
      </w:r>
      <w:proofErr w:type="spellStart"/>
      <w:r w:rsidRPr="00560568">
        <w:rPr>
          <w:szCs w:val="20"/>
        </w:rPr>
        <w:t>rc</w:t>
      </w:r>
      <w:proofErr w:type="spellEnd"/>
      <w:r w:rsidRPr="00560568">
        <w:rPr>
          <w:szCs w:val="20"/>
        </w:rPr>
        <w:t xml:space="preserve">) with 95% confidence intervals (in brackets) and root mean square error (RMSE) reported for the validation models obtained with </w:t>
      </w:r>
      <w:proofErr w:type="spellStart"/>
      <w:r w:rsidRPr="00560568">
        <w:rPr>
          <w:szCs w:val="20"/>
        </w:rPr>
        <w:t>colourimeter’s</w:t>
      </w:r>
      <w:proofErr w:type="spellEnd"/>
      <w:r w:rsidRPr="00560568">
        <w:rPr>
          <w:szCs w:val="20"/>
        </w:rPr>
        <w:t xml:space="preserve"> L*, a* and b* (predicted variables) against spectrophotometer’s L*, a* and b* (observed variables).</w:t>
      </w:r>
    </w:p>
    <w:tbl>
      <w:tblPr>
        <w:tblStyle w:val="TableGrid"/>
        <w:tblW w:w="5812" w:type="dxa"/>
        <w:jc w:val="center"/>
        <w:tblLook w:val="04A0" w:firstRow="1" w:lastRow="0" w:firstColumn="1" w:lastColumn="0" w:noHBand="0" w:noVBand="1"/>
      </w:tblPr>
      <w:tblGrid>
        <w:gridCol w:w="1892"/>
        <w:gridCol w:w="1085"/>
        <w:gridCol w:w="1702"/>
        <w:gridCol w:w="1133"/>
      </w:tblGrid>
      <w:tr w:rsidR="00A5671E" w:rsidRPr="00A5671E" w14:paraId="5CCFE009" w14:textId="77777777" w:rsidTr="00CF2DC3">
        <w:trPr>
          <w:trHeight w:val="364"/>
          <w:jc w:val="center"/>
        </w:trPr>
        <w:tc>
          <w:tcPr>
            <w:tcW w:w="1891" w:type="dxa"/>
            <w:vMerge w:val="restart"/>
            <w:tcBorders>
              <w:left w:val="nil"/>
              <w:bottom w:val="nil"/>
              <w:right w:val="nil"/>
            </w:tcBorders>
            <w:shd w:val="clear" w:color="auto" w:fill="auto"/>
            <w:vAlign w:val="center"/>
          </w:tcPr>
          <w:p w14:paraId="78E98018" w14:textId="77777777" w:rsidR="00A5671E" w:rsidRPr="00A5671E" w:rsidRDefault="00A5671E" w:rsidP="00A5671E">
            <w:pPr>
              <w:pStyle w:val="Agbodytext"/>
              <w:spacing w:line="240" w:lineRule="atLeast"/>
              <w:rPr>
                <w:b/>
                <w:bCs/>
                <w:szCs w:val="20"/>
                <w:lang w:val="en-AU"/>
              </w:rPr>
            </w:pPr>
            <w:r w:rsidRPr="00A5671E">
              <w:rPr>
                <w:b/>
                <w:bCs/>
                <w:szCs w:val="20"/>
                <w:lang w:val="en-AU"/>
              </w:rPr>
              <w:t>Colour parameters</w:t>
            </w:r>
          </w:p>
        </w:tc>
        <w:tc>
          <w:tcPr>
            <w:tcW w:w="1085" w:type="dxa"/>
            <w:vMerge w:val="restart"/>
            <w:tcBorders>
              <w:left w:val="nil"/>
              <w:bottom w:val="nil"/>
              <w:right w:val="nil"/>
            </w:tcBorders>
            <w:shd w:val="clear" w:color="auto" w:fill="auto"/>
            <w:vAlign w:val="center"/>
          </w:tcPr>
          <w:p w14:paraId="30E40C56" w14:textId="77777777" w:rsidR="00A5671E" w:rsidRPr="00A5671E" w:rsidRDefault="00A5671E" w:rsidP="00A5671E">
            <w:pPr>
              <w:pStyle w:val="Agbodytext"/>
              <w:spacing w:line="240" w:lineRule="atLeast"/>
              <w:rPr>
                <w:b/>
                <w:bCs/>
                <w:szCs w:val="20"/>
                <w:lang w:val="en-AU"/>
              </w:rPr>
            </w:pPr>
            <w:r w:rsidRPr="00A5671E">
              <w:rPr>
                <w:b/>
                <w:bCs/>
                <w:szCs w:val="20"/>
                <w:lang w:val="en-AU"/>
              </w:rPr>
              <w:t>n</w:t>
            </w:r>
          </w:p>
        </w:tc>
        <w:tc>
          <w:tcPr>
            <w:tcW w:w="1702" w:type="dxa"/>
            <w:vMerge w:val="restart"/>
            <w:tcBorders>
              <w:left w:val="nil"/>
              <w:bottom w:val="nil"/>
              <w:right w:val="nil"/>
            </w:tcBorders>
            <w:shd w:val="clear" w:color="auto" w:fill="auto"/>
            <w:vAlign w:val="center"/>
          </w:tcPr>
          <w:p w14:paraId="37B9FD35" w14:textId="77777777" w:rsidR="00A5671E" w:rsidRPr="00A5671E" w:rsidRDefault="00A5671E" w:rsidP="00A5671E">
            <w:pPr>
              <w:pStyle w:val="Agbodytext"/>
              <w:spacing w:line="240" w:lineRule="atLeast"/>
              <w:rPr>
                <w:b/>
                <w:bCs/>
                <w:szCs w:val="20"/>
                <w:lang w:val="en-AU"/>
              </w:rPr>
            </w:pPr>
            <w:proofErr w:type="spellStart"/>
            <w:r w:rsidRPr="00A5671E">
              <w:rPr>
                <w:b/>
                <w:bCs/>
                <w:i/>
                <w:iCs/>
                <w:szCs w:val="20"/>
                <w:lang w:val="en-AU"/>
              </w:rPr>
              <w:t>r</w:t>
            </w:r>
            <w:r w:rsidRPr="00A5671E">
              <w:rPr>
                <w:b/>
                <w:bCs/>
                <w:szCs w:val="20"/>
                <w:vertAlign w:val="subscript"/>
                <w:lang w:val="en-AU"/>
              </w:rPr>
              <w:t>c</w:t>
            </w:r>
            <w:proofErr w:type="spellEnd"/>
          </w:p>
        </w:tc>
        <w:tc>
          <w:tcPr>
            <w:tcW w:w="1133" w:type="dxa"/>
            <w:vMerge w:val="restart"/>
            <w:tcBorders>
              <w:left w:val="nil"/>
              <w:bottom w:val="nil"/>
              <w:right w:val="nil"/>
            </w:tcBorders>
            <w:shd w:val="clear" w:color="auto" w:fill="auto"/>
            <w:vAlign w:val="center"/>
          </w:tcPr>
          <w:p w14:paraId="7533BC68" w14:textId="77777777" w:rsidR="00A5671E" w:rsidRPr="00A5671E" w:rsidRDefault="00A5671E" w:rsidP="00A5671E">
            <w:pPr>
              <w:pStyle w:val="Agbodytext"/>
              <w:spacing w:line="240" w:lineRule="atLeast"/>
              <w:rPr>
                <w:b/>
                <w:bCs/>
                <w:i/>
                <w:iCs/>
                <w:szCs w:val="20"/>
                <w:lang w:val="en-AU"/>
              </w:rPr>
            </w:pPr>
            <w:r w:rsidRPr="00A5671E">
              <w:rPr>
                <w:b/>
                <w:bCs/>
                <w:i/>
                <w:iCs/>
                <w:szCs w:val="20"/>
                <w:lang w:val="en-AU"/>
              </w:rPr>
              <w:t>RMSE</w:t>
            </w:r>
          </w:p>
        </w:tc>
      </w:tr>
      <w:tr w:rsidR="00A5671E" w:rsidRPr="00A5671E" w14:paraId="354B5E1B" w14:textId="77777777" w:rsidTr="00CF2DC3">
        <w:trPr>
          <w:trHeight w:val="364"/>
          <w:jc w:val="center"/>
        </w:trPr>
        <w:tc>
          <w:tcPr>
            <w:tcW w:w="1891" w:type="dxa"/>
            <w:vMerge/>
            <w:tcBorders>
              <w:top w:val="nil"/>
              <w:left w:val="nil"/>
              <w:right w:val="nil"/>
            </w:tcBorders>
            <w:shd w:val="clear" w:color="auto" w:fill="auto"/>
            <w:vAlign w:val="center"/>
          </w:tcPr>
          <w:p w14:paraId="2DD295A8" w14:textId="77777777" w:rsidR="00A5671E" w:rsidRPr="00A5671E" w:rsidRDefault="00A5671E" w:rsidP="00A5671E">
            <w:pPr>
              <w:pStyle w:val="Agbodytext"/>
              <w:spacing w:line="240" w:lineRule="atLeast"/>
              <w:rPr>
                <w:b/>
                <w:bCs/>
                <w:szCs w:val="20"/>
                <w:lang w:val="en-AU"/>
              </w:rPr>
            </w:pPr>
          </w:p>
        </w:tc>
        <w:tc>
          <w:tcPr>
            <w:tcW w:w="1085" w:type="dxa"/>
            <w:vMerge/>
            <w:tcBorders>
              <w:top w:val="nil"/>
              <w:left w:val="nil"/>
              <w:right w:val="nil"/>
            </w:tcBorders>
            <w:shd w:val="clear" w:color="auto" w:fill="auto"/>
          </w:tcPr>
          <w:p w14:paraId="02C42673" w14:textId="77777777" w:rsidR="00A5671E" w:rsidRPr="00A5671E" w:rsidRDefault="00A5671E" w:rsidP="00A5671E">
            <w:pPr>
              <w:pStyle w:val="Agbodytext"/>
              <w:spacing w:line="240" w:lineRule="atLeast"/>
              <w:rPr>
                <w:b/>
                <w:bCs/>
                <w:szCs w:val="20"/>
                <w:lang w:val="en-AU"/>
              </w:rPr>
            </w:pPr>
          </w:p>
        </w:tc>
        <w:tc>
          <w:tcPr>
            <w:tcW w:w="1702" w:type="dxa"/>
            <w:vMerge/>
            <w:tcBorders>
              <w:top w:val="nil"/>
              <w:left w:val="nil"/>
              <w:right w:val="nil"/>
            </w:tcBorders>
            <w:shd w:val="clear" w:color="auto" w:fill="auto"/>
          </w:tcPr>
          <w:p w14:paraId="3A03CA24" w14:textId="77777777" w:rsidR="00A5671E" w:rsidRPr="00A5671E" w:rsidRDefault="00A5671E" w:rsidP="00A5671E">
            <w:pPr>
              <w:pStyle w:val="Agbodytext"/>
              <w:spacing w:line="240" w:lineRule="atLeast"/>
              <w:rPr>
                <w:b/>
                <w:bCs/>
                <w:szCs w:val="20"/>
                <w:lang w:val="en-AU"/>
              </w:rPr>
            </w:pPr>
          </w:p>
        </w:tc>
        <w:tc>
          <w:tcPr>
            <w:tcW w:w="1133" w:type="dxa"/>
            <w:vMerge/>
            <w:tcBorders>
              <w:top w:val="nil"/>
              <w:left w:val="nil"/>
              <w:right w:val="nil"/>
            </w:tcBorders>
            <w:shd w:val="clear" w:color="auto" w:fill="auto"/>
          </w:tcPr>
          <w:p w14:paraId="3E6EA20B" w14:textId="77777777" w:rsidR="00A5671E" w:rsidRPr="00A5671E" w:rsidRDefault="00A5671E" w:rsidP="00A5671E">
            <w:pPr>
              <w:pStyle w:val="Agbodytext"/>
              <w:spacing w:line="240" w:lineRule="atLeast"/>
              <w:rPr>
                <w:b/>
                <w:bCs/>
                <w:szCs w:val="20"/>
                <w:lang w:val="en-AU"/>
              </w:rPr>
            </w:pPr>
          </w:p>
        </w:tc>
      </w:tr>
      <w:tr w:rsidR="00A5671E" w:rsidRPr="00A5671E" w14:paraId="0E502DCB" w14:textId="77777777" w:rsidTr="00CF2DC3">
        <w:trPr>
          <w:jc w:val="center"/>
        </w:trPr>
        <w:tc>
          <w:tcPr>
            <w:tcW w:w="1891" w:type="dxa"/>
            <w:tcBorders>
              <w:left w:val="nil"/>
              <w:bottom w:val="nil"/>
              <w:right w:val="nil"/>
            </w:tcBorders>
            <w:shd w:val="clear" w:color="auto" w:fill="auto"/>
            <w:vAlign w:val="center"/>
          </w:tcPr>
          <w:p w14:paraId="2766110B" w14:textId="77777777" w:rsidR="00A5671E" w:rsidRPr="00A5671E" w:rsidRDefault="00A5671E" w:rsidP="00A5671E">
            <w:pPr>
              <w:pStyle w:val="Agbodytext"/>
              <w:spacing w:line="240" w:lineRule="atLeast"/>
              <w:rPr>
                <w:szCs w:val="20"/>
                <w:lang w:val="en-AU"/>
              </w:rPr>
            </w:pPr>
            <w:r w:rsidRPr="00A5671E">
              <w:rPr>
                <w:szCs w:val="20"/>
                <w:lang w:val="en-AU"/>
              </w:rPr>
              <w:t xml:space="preserve"> L</w:t>
            </w:r>
            <w:r w:rsidRPr="00A5671E">
              <w:rPr>
                <w:szCs w:val="20"/>
                <w:vertAlign w:val="superscript"/>
                <w:lang w:val="en-AU"/>
              </w:rPr>
              <w:t>*</w:t>
            </w:r>
          </w:p>
        </w:tc>
        <w:tc>
          <w:tcPr>
            <w:tcW w:w="1085" w:type="dxa"/>
            <w:tcBorders>
              <w:left w:val="nil"/>
              <w:bottom w:val="nil"/>
              <w:right w:val="nil"/>
            </w:tcBorders>
            <w:shd w:val="clear" w:color="auto" w:fill="auto"/>
            <w:vAlign w:val="center"/>
          </w:tcPr>
          <w:p w14:paraId="11A8A7AB" w14:textId="77777777" w:rsidR="00A5671E" w:rsidRPr="00A5671E" w:rsidRDefault="00A5671E" w:rsidP="00A5671E">
            <w:pPr>
              <w:pStyle w:val="Agbodytext"/>
              <w:spacing w:line="240" w:lineRule="atLeast"/>
              <w:rPr>
                <w:szCs w:val="20"/>
                <w:lang w:val="en-AU"/>
              </w:rPr>
            </w:pPr>
            <w:r w:rsidRPr="00A5671E">
              <w:rPr>
                <w:szCs w:val="20"/>
                <w:lang w:val="en-AU"/>
              </w:rPr>
              <w:t>160</w:t>
            </w:r>
          </w:p>
        </w:tc>
        <w:tc>
          <w:tcPr>
            <w:tcW w:w="1702" w:type="dxa"/>
            <w:tcBorders>
              <w:left w:val="nil"/>
              <w:bottom w:val="nil"/>
              <w:right w:val="nil"/>
            </w:tcBorders>
            <w:shd w:val="clear" w:color="auto" w:fill="auto"/>
          </w:tcPr>
          <w:p w14:paraId="0E350857" w14:textId="77777777" w:rsidR="00A5671E" w:rsidRPr="00A5671E" w:rsidRDefault="00A5671E" w:rsidP="00A5671E">
            <w:pPr>
              <w:pStyle w:val="Agbodytext"/>
              <w:spacing w:line="240" w:lineRule="atLeast"/>
              <w:rPr>
                <w:szCs w:val="20"/>
                <w:lang w:val="en-AU"/>
              </w:rPr>
            </w:pPr>
            <w:r w:rsidRPr="00A5671E">
              <w:rPr>
                <w:szCs w:val="20"/>
                <w:lang w:val="en-AU"/>
              </w:rPr>
              <w:t>0.930 (0.040)</w:t>
            </w:r>
          </w:p>
        </w:tc>
        <w:tc>
          <w:tcPr>
            <w:tcW w:w="1133" w:type="dxa"/>
            <w:tcBorders>
              <w:left w:val="nil"/>
              <w:bottom w:val="nil"/>
              <w:right w:val="nil"/>
            </w:tcBorders>
            <w:shd w:val="clear" w:color="auto" w:fill="auto"/>
          </w:tcPr>
          <w:p w14:paraId="238DB472" w14:textId="77777777" w:rsidR="00A5671E" w:rsidRPr="00A5671E" w:rsidRDefault="00A5671E" w:rsidP="00A5671E">
            <w:pPr>
              <w:pStyle w:val="Agbodytext"/>
              <w:spacing w:line="240" w:lineRule="atLeast"/>
              <w:rPr>
                <w:szCs w:val="20"/>
                <w:lang w:val="en-AU"/>
              </w:rPr>
            </w:pPr>
            <w:r w:rsidRPr="00A5671E">
              <w:rPr>
                <w:szCs w:val="20"/>
                <w:lang w:val="en-AU"/>
              </w:rPr>
              <w:t>5.158</w:t>
            </w:r>
          </w:p>
        </w:tc>
      </w:tr>
      <w:tr w:rsidR="00A5671E" w:rsidRPr="00A5671E" w14:paraId="4A5016F6" w14:textId="77777777" w:rsidTr="00CF2DC3">
        <w:trPr>
          <w:jc w:val="center"/>
        </w:trPr>
        <w:tc>
          <w:tcPr>
            <w:tcW w:w="1891" w:type="dxa"/>
            <w:tcBorders>
              <w:top w:val="nil"/>
              <w:left w:val="nil"/>
              <w:bottom w:val="nil"/>
              <w:right w:val="nil"/>
            </w:tcBorders>
            <w:shd w:val="clear" w:color="auto" w:fill="auto"/>
            <w:vAlign w:val="center"/>
          </w:tcPr>
          <w:p w14:paraId="34F976F3" w14:textId="77777777" w:rsidR="00A5671E" w:rsidRPr="00A5671E" w:rsidRDefault="00A5671E" w:rsidP="00A5671E">
            <w:pPr>
              <w:pStyle w:val="Agbodytext"/>
              <w:spacing w:line="240" w:lineRule="atLeast"/>
              <w:rPr>
                <w:szCs w:val="20"/>
                <w:lang w:val="en-AU"/>
              </w:rPr>
            </w:pPr>
            <w:r w:rsidRPr="00A5671E">
              <w:rPr>
                <w:szCs w:val="20"/>
                <w:lang w:val="en-AU"/>
              </w:rPr>
              <w:t xml:space="preserve"> a</w:t>
            </w:r>
            <w:r w:rsidRPr="00A5671E">
              <w:rPr>
                <w:szCs w:val="20"/>
                <w:vertAlign w:val="superscript"/>
                <w:lang w:val="en-AU"/>
              </w:rPr>
              <w:t>*</w:t>
            </w:r>
          </w:p>
        </w:tc>
        <w:tc>
          <w:tcPr>
            <w:tcW w:w="1085" w:type="dxa"/>
            <w:tcBorders>
              <w:top w:val="nil"/>
              <w:left w:val="nil"/>
              <w:bottom w:val="nil"/>
              <w:right w:val="nil"/>
            </w:tcBorders>
            <w:shd w:val="clear" w:color="auto" w:fill="auto"/>
            <w:vAlign w:val="center"/>
          </w:tcPr>
          <w:p w14:paraId="61551693" w14:textId="77777777" w:rsidR="00A5671E" w:rsidRPr="00A5671E" w:rsidRDefault="00A5671E" w:rsidP="00A5671E">
            <w:pPr>
              <w:pStyle w:val="Agbodytext"/>
              <w:spacing w:line="240" w:lineRule="atLeast"/>
              <w:rPr>
                <w:szCs w:val="20"/>
                <w:lang w:val="en-AU"/>
              </w:rPr>
            </w:pPr>
            <w:r w:rsidRPr="00A5671E">
              <w:rPr>
                <w:szCs w:val="20"/>
                <w:lang w:val="en-AU"/>
              </w:rPr>
              <w:t>160</w:t>
            </w:r>
          </w:p>
        </w:tc>
        <w:tc>
          <w:tcPr>
            <w:tcW w:w="1702" w:type="dxa"/>
            <w:tcBorders>
              <w:top w:val="nil"/>
              <w:left w:val="nil"/>
              <w:bottom w:val="nil"/>
              <w:right w:val="nil"/>
            </w:tcBorders>
            <w:shd w:val="clear" w:color="auto" w:fill="auto"/>
          </w:tcPr>
          <w:p w14:paraId="184FFE7D" w14:textId="77777777" w:rsidR="00A5671E" w:rsidRPr="00A5671E" w:rsidRDefault="00A5671E" w:rsidP="00A5671E">
            <w:pPr>
              <w:pStyle w:val="Agbodytext"/>
              <w:spacing w:line="240" w:lineRule="atLeast"/>
              <w:rPr>
                <w:szCs w:val="20"/>
                <w:lang w:val="en-AU"/>
              </w:rPr>
            </w:pPr>
            <w:r w:rsidRPr="00A5671E">
              <w:rPr>
                <w:szCs w:val="20"/>
                <w:lang w:val="en-AU"/>
              </w:rPr>
              <w:t>0.924 (0.043)</w:t>
            </w:r>
          </w:p>
        </w:tc>
        <w:tc>
          <w:tcPr>
            <w:tcW w:w="1133" w:type="dxa"/>
            <w:tcBorders>
              <w:top w:val="nil"/>
              <w:left w:val="nil"/>
              <w:bottom w:val="nil"/>
              <w:right w:val="nil"/>
            </w:tcBorders>
            <w:shd w:val="clear" w:color="auto" w:fill="auto"/>
          </w:tcPr>
          <w:p w14:paraId="4FE2C944" w14:textId="77777777" w:rsidR="00A5671E" w:rsidRPr="00A5671E" w:rsidRDefault="00A5671E" w:rsidP="00A5671E">
            <w:pPr>
              <w:pStyle w:val="Agbodytext"/>
              <w:spacing w:line="240" w:lineRule="atLeast"/>
              <w:rPr>
                <w:szCs w:val="20"/>
                <w:lang w:val="en-AU"/>
              </w:rPr>
            </w:pPr>
            <w:r w:rsidRPr="00A5671E">
              <w:rPr>
                <w:szCs w:val="20"/>
                <w:lang w:val="en-AU"/>
              </w:rPr>
              <w:t>5.747</w:t>
            </w:r>
          </w:p>
        </w:tc>
      </w:tr>
      <w:tr w:rsidR="00A5671E" w:rsidRPr="00A5671E" w14:paraId="4FEA4C93" w14:textId="77777777" w:rsidTr="00CF2DC3">
        <w:trPr>
          <w:jc w:val="center"/>
        </w:trPr>
        <w:tc>
          <w:tcPr>
            <w:tcW w:w="1891" w:type="dxa"/>
            <w:tcBorders>
              <w:top w:val="nil"/>
              <w:left w:val="nil"/>
              <w:right w:val="nil"/>
            </w:tcBorders>
            <w:shd w:val="clear" w:color="auto" w:fill="auto"/>
            <w:vAlign w:val="center"/>
          </w:tcPr>
          <w:p w14:paraId="7D8DAC5C" w14:textId="77777777" w:rsidR="00A5671E" w:rsidRPr="00A5671E" w:rsidRDefault="00A5671E" w:rsidP="00A5671E">
            <w:pPr>
              <w:pStyle w:val="Agbodytext"/>
              <w:spacing w:line="240" w:lineRule="atLeast"/>
              <w:rPr>
                <w:szCs w:val="20"/>
                <w:lang w:val="en-AU"/>
              </w:rPr>
            </w:pPr>
            <w:r w:rsidRPr="00A5671E">
              <w:rPr>
                <w:szCs w:val="20"/>
                <w:lang w:val="en-AU"/>
              </w:rPr>
              <w:t xml:space="preserve"> b</w:t>
            </w:r>
            <w:r w:rsidRPr="00A5671E">
              <w:rPr>
                <w:szCs w:val="20"/>
                <w:vertAlign w:val="superscript"/>
                <w:lang w:val="en-AU"/>
              </w:rPr>
              <w:t>*</w:t>
            </w:r>
          </w:p>
        </w:tc>
        <w:tc>
          <w:tcPr>
            <w:tcW w:w="1085" w:type="dxa"/>
            <w:tcBorders>
              <w:top w:val="nil"/>
              <w:left w:val="nil"/>
              <w:right w:val="nil"/>
            </w:tcBorders>
            <w:shd w:val="clear" w:color="auto" w:fill="auto"/>
            <w:vAlign w:val="center"/>
          </w:tcPr>
          <w:p w14:paraId="3F1A5330" w14:textId="77777777" w:rsidR="00A5671E" w:rsidRPr="00A5671E" w:rsidRDefault="00A5671E" w:rsidP="00A5671E">
            <w:pPr>
              <w:pStyle w:val="Agbodytext"/>
              <w:spacing w:line="240" w:lineRule="atLeast"/>
              <w:rPr>
                <w:szCs w:val="20"/>
                <w:lang w:val="en-AU"/>
              </w:rPr>
            </w:pPr>
            <w:r w:rsidRPr="00A5671E">
              <w:rPr>
                <w:szCs w:val="20"/>
                <w:lang w:val="en-AU"/>
              </w:rPr>
              <w:t>160</w:t>
            </w:r>
          </w:p>
        </w:tc>
        <w:tc>
          <w:tcPr>
            <w:tcW w:w="1702" w:type="dxa"/>
            <w:tcBorders>
              <w:top w:val="nil"/>
              <w:left w:val="nil"/>
              <w:right w:val="nil"/>
            </w:tcBorders>
            <w:shd w:val="clear" w:color="auto" w:fill="auto"/>
          </w:tcPr>
          <w:p w14:paraId="6FF62563" w14:textId="77777777" w:rsidR="00A5671E" w:rsidRPr="00A5671E" w:rsidRDefault="00A5671E" w:rsidP="00A5671E">
            <w:pPr>
              <w:pStyle w:val="Agbodytext"/>
              <w:spacing w:line="240" w:lineRule="atLeast"/>
              <w:rPr>
                <w:szCs w:val="20"/>
                <w:lang w:val="en-AU"/>
              </w:rPr>
            </w:pPr>
            <w:r w:rsidRPr="00A5671E">
              <w:rPr>
                <w:szCs w:val="20"/>
                <w:lang w:val="en-AU"/>
              </w:rPr>
              <w:t>0.946 (0.033)</w:t>
            </w:r>
          </w:p>
        </w:tc>
        <w:tc>
          <w:tcPr>
            <w:tcW w:w="1133" w:type="dxa"/>
            <w:tcBorders>
              <w:top w:val="nil"/>
              <w:left w:val="nil"/>
              <w:right w:val="nil"/>
            </w:tcBorders>
            <w:shd w:val="clear" w:color="auto" w:fill="auto"/>
          </w:tcPr>
          <w:p w14:paraId="510535B5" w14:textId="77777777" w:rsidR="00A5671E" w:rsidRPr="00A5671E" w:rsidRDefault="00A5671E" w:rsidP="00A5671E">
            <w:pPr>
              <w:pStyle w:val="Agbodytext"/>
              <w:spacing w:line="240" w:lineRule="atLeast"/>
              <w:rPr>
                <w:szCs w:val="20"/>
                <w:lang w:val="en-AU"/>
              </w:rPr>
            </w:pPr>
            <w:r w:rsidRPr="00A5671E">
              <w:rPr>
                <w:szCs w:val="20"/>
                <w:lang w:val="en-AU"/>
              </w:rPr>
              <w:t>4.373</w:t>
            </w:r>
          </w:p>
        </w:tc>
      </w:tr>
    </w:tbl>
    <w:p w14:paraId="5062F049" w14:textId="77777777" w:rsidR="00A5671E" w:rsidRDefault="00A5671E" w:rsidP="00560568">
      <w:pPr>
        <w:pStyle w:val="Agbodytext"/>
        <w:spacing w:line="240" w:lineRule="atLeast"/>
        <w:rPr>
          <w:szCs w:val="20"/>
        </w:rPr>
      </w:pPr>
    </w:p>
    <w:p w14:paraId="5DB3D364" w14:textId="549AA1C8" w:rsidR="00246C16" w:rsidRPr="00AE2A93" w:rsidRDefault="0073493A" w:rsidP="00E32351">
      <w:pPr>
        <w:pStyle w:val="Heading1"/>
        <w:spacing w:line="240" w:lineRule="atLeast"/>
      </w:pPr>
      <w:bookmarkStart w:id="32" w:name="_Toc69979561"/>
      <w:r>
        <w:lastRenderedPageBreak/>
        <w:t>CONCLUSION</w:t>
      </w:r>
      <w:bookmarkEnd w:id="32"/>
    </w:p>
    <w:p w14:paraId="73A9C9F5" w14:textId="77777777" w:rsidR="00CF2DC3" w:rsidRDefault="00CF2DC3" w:rsidP="00CF2DC3">
      <w:pPr>
        <w:spacing w:line="240" w:lineRule="atLeast"/>
      </w:pPr>
      <w:r>
        <w:t xml:space="preserve">The handheld Bluetooth </w:t>
      </w:r>
      <w:proofErr w:type="spellStart"/>
      <w:r>
        <w:t>colourimeter</w:t>
      </w:r>
      <w:proofErr w:type="spellEnd"/>
      <w:r>
        <w:t xml:space="preserve"> used in this study proved accurate and precise for the detection of L*, a* and b* in stone fruit, as demonstrated by the cross-validation results shown in Figure 4 and Table 2 on a comprehensive dataset that included different stone fruit crops. The instrument allowed very rapid measurements and can be used for data collection in situ or post-harvest as it is interfaced via Bluetooth connectivity with a smartphone application that serves as data logger and stores data in the internal memory. The use of an external data logging device such as a smartphone or a tablet contributes to the reduction of the instrument’s size and weight, making it a portable tool that can be easily carried to the measurement site (i.e. orchard, packhouse, cool store, distribution </w:t>
      </w:r>
      <w:proofErr w:type="spellStart"/>
      <w:r>
        <w:t>centre</w:t>
      </w:r>
      <w:proofErr w:type="spellEnd"/>
      <w:r>
        <w:t xml:space="preserve">). </w:t>
      </w:r>
    </w:p>
    <w:p w14:paraId="5614EAF4" w14:textId="045363F8" w:rsidR="00246C16" w:rsidRDefault="00246C16" w:rsidP="00E32351">
      <w:pPr>
        <w:pStyle w:val="Heading1"/>
        <w:spacing w:line="240" w:lineRule="atLeast"/>
      </w:pPr>
      <w:bookmarkStart w:id="33" w:name="_Toc69979562"/>
      <w:r>
        <w:t>RECOMMENDATIONS</w:t>
      </w:r>
      <w:bookmarkEnd w:id="33"/>
    </w:p>
    <w:p w14:paraId="59A93B97" w14:textId="77777777" w:rsidR="00E5483C" w:rsidRDefault="00E5483C" w:rsidP="00E5483C">
      <w:pPr>
        <w:spacing w:line="240" w:lineRule="atLeast"/>
      </w:pPr>
      <w:r>
        <w:t xml:space="preserve">The adoption of quantitative </w:t>
      </w:r>
      <w:proofErr w:type="spellStart"/>
      <w:r>
        <w:t>colour</w:t>
      </w:r>
      <w:proofErr w:type="spellEnd"/>
      <w:r>
        <w:t xml:space="preserve"> parameters such as L*, a*, b*, C* and h° for fruit quality and maturity determination helps overcome an often obsolete, qualitative and subjective classification into visual </w:t>
      </w:r>
      <w:proofErr w:type="spellStart"/>
      <w:r>
        <w:t>colour</w:t>
      </w:r>
      <w:proofErr w:type="spellEnd"/>
      <w:r>
        <w:t xml:space="preserve"> categories and opens the door to powerful machine learning algorithms that can quickly monitor fruit </w:t>
      </w:r>
      <w:proofErr w:type="spellStart"/>
      <w:r>
        <w:t>colour</w:t>
      </w:r>
      <w:proofErr w:type="spellEnd"/>
      <w:r>
        <w:t xml:space="preserve"> changes over time and on the go.  For example, algorithms for the detection of L*, a*, b* C* and h° have a great potential for precision agriculture applications involving Ag-technologies such as robots, drones and mobile platforms for automation of common practices like fruit maturity estimation or robotic harvesting. However, this concept is only valid for fruit crops and cultivars that show a clear pattern of </w:t>
      </w:r>
      <w:proofErr w:type="spellStart"/>
      <w:r>
        <w:t>colour</w:t>
      </w:r>
      <w:proofErr w:type="spellEnd"/>
      <w:r>
        <w:t xml:space="preserve"> change when approaching maturity.</w:t>
      </w:r>
    </w:p>
    <w:p w14:paraId="000FEEF3" w14:textId="279B43E2" w:rsidR="0073493A" w:rsidRPr="0073493A" w:rsidRDefault="0073493A" w:rsidP="00E32351">
      <w:pPr>
        <w:pStyle w:val="Heading1"/>
        <w:spacing w:line="240" w:lineRule="atLeast"/>
      </w:pPr>
      <w:bookmarkStart w:id="34" w:name="_Toc69979563"/>
      <w:r w:rsidRPr="0073493A">
        <w:t>REFERENCES</w:t>
      </w:r>
      <w:bookmarkEnd w:id="34"/>
    </w:p>
    <w:p w14:paraId="278EA275" w14:textId="77777777" w:rsidR="005C3C43" w:rsidRPr="0006040F" w:rsidRDefault="005C3C43" w:rsidP="005C3C43">
      <w:pPr>
        <w:pStyle w:val="Agbodytext"/>
        <w:spacing w:line="240" w:lineRule="atLeast"/>
        <w:rPr>
          <w:szCs w:val="20"/>
        </w:rPr>
      </w:pPr>
      <w:r w:rsidRPr="0006040F">
        <w:rPr>
          <w:szCs w:val="20"/>
        </w:rPr>
        <w:t>Byrne, D. H., Nikolic, A. N., &amp; Burns, E. E. (1991). Variability in sugars, acids, firmness, and color characteristics of 12 peach genotypes. Journal of the American Society for Horticultural Science, 116(6), 1004-1006. https://doi.org/10.21273/JASHS.116.6.1004</w:t>
      </w:r>
    </w:p>
    <w:p w14:paraId="25FB227F" w14:textId="77777777" w:rsidR="005C3C43" w:rsidRPr="0006040F" w:rsidRDefault="005C3C43" w:rsidP="005C3C43">
      <w:pPr>
        <w:pStyle w:val="Agbodytext"/>
        <w:spacing w:line="240" w:lineRule="atLeast"/>
        <w:rPr>
          <w:szCs w:val="20"/>
        </w:rPr>
      </w:pPr>
      <w:proofErr w:type="spellStart"/>
      <w:r w:rsidRPr="0006040F">
        <w:rPr>
          <w:szCs w:val="20"/>
        </w:rPr>
        <w:t>Crisosto</w:t>
      </w:r>
      <w:proofErr w:type="spellEnd"/>
      <w:r w:rsidRPr="0006040F">
        <w:rPr>
          <w:szCs w:val="20"/>
        </w:rPr>
        <w:t>, C. H. (1994). Stone fruit maturity indices: a descriptive review. Postharvest News and Information, 5(6), 65N-68N.</w:t>
      </w:r>
    </w:p>
    <w:p w14:paraId="2E671A42" w14:textId="77777777" w:rsidR="005C3C43" w:rsidRPr="0006040F" w:rsidRDefault="005C3C43" w:rsidP="005C3C43">
      <w:pPr>
        <w:pStyle w:val="Agbodytext"/>
        <w:spacing w:line="240" w:lineRule="atLeast"/>
        <w:rPr>
          <w:szCs w:val="20"/>
        </w:rPr>
      </w:pPr>
      <w:proofErr w:type="spellStart"/>
      <w:r w:rsidRPr="0006040F">
        <w:rPr>
          <w:szCs w:val="20"/>
        </w:rPr>
        <w:t>Crisosto</w:t>
      </w:r>
      <w:proofErr w:type="spellEnd"/>
      <w:r w:rsidRPr="0006040F">
        <w:rPr>
          <w:szCs w:val="20"/>
        </w:rPr>
        <w:t xml:space="preserve">, C. H., Johnson, R. S., Day, K. R., </w:t>
      </w:r>
      <w:proofErr w:type="spellStart"/>
      <w:r w:rsidRPr="0006040F">
        <w:rPr>
          <w:szCs w:val="20"/>
        </w:rPr>
        <w:t>Beede</w:t>
      </w:r>
      <w:proofErr w:type="spellEnd"/>
      <w:r w:rsidRPr="0006040F">
        <w:rPr>
          <w:szCs w:val="20"/>
        </w:rPr>
        <w:t>, B., &amp; Andris, H. (1999). Contaminants and injury induce inking on peaches and nectarines. Plant Health Progress, 1(1), 7. https://doi.org/10.3733/ca.v053n01p19</w:t>
      </w:r>
    </w:p>
    <w:p w14:paraId="45EA135D" w14:textId="77777777" w:rsidR="005C3C43" w:rsidRPr="0006040F" w:rsidRDefault="005C3C43" w:rsidP="005C3C43">
      <w:pPr>
        <w:pStyle w:val="Agbodytext"/>
        <w:spacing w:line="240" w:lineRule="atLeast"/>
        <w:rPr>
          <w:szCs w:val="20"/>
        </w:rPr>
      </w:pPr>
      <w:r w:rsidRPr="0006040F">
        <w:rPr>
          <w:szCs w:val="20"/>
        </w:rPr>
        <w:t xml:space="preserve">Ferrer, Ana, Sara </w:t>
      </w:r>
      <w:proofErr w:type="spellStart"/>
      <w:r w:rsidRPr="0006040F">
        <w:rPr>
          <w:szCs w:val="20"/>
        </w:rPr>
        <w:t>Remón</w:t>
      </w:r>
      <w:proofErr w:type="spellEnd"/>
      <w:r w:rsidRPr="0006040F">
        <w:rPr>
          <w:szCs w:val="20"/>
        </w:rPr>
        <w:t xml:space="preserve">, Angel I. </w:t>
      </w:r>
      <w:proofErr w:type="spellStart"/>
      <w:r w:rsidRPr="0006040F">
        <w:rPr>
          <w:szCs w:val="20"/>
        </w:rPr>
        <w:t>Negueruela</w:t>
      </w:r>
      <w:proofErr w:type="spellEnd"/>
      <w:r w:rsidRPr="0006040F">
        <w:rPr>
          <w:szCs w:val="20"/>
        </w:rPr>
        <w:t xml:space="preserve">, and Rosa Oria. "Changes during the ripening of the very late season Spanish peach cultivar </w:t>
      </w:r>
      <w:proofErr w:type="spellStart"/>
      <w:r w:rsidRPr="0006040F">
        <w:rPr>
          <w:szCs w:val="20"/>
        </w:rPr>
        <w:t>Calanda</w:t>
      </w:r>
      <w:proofErr w:type="spellEnd"/>
      <w:r w:rsidRPr="0006040F">
        <w:rPr>
          <w:szCs w:val="20"/>
        </w:rPr>
        <w:t xml:space="preserve">: feasibility of using CIELAB coordinates as maturity indices." Scientia </w:t>
      </w:r>
      <w:proofErr w:type="spellStart"/>
      <w:r w:rsidRPr="0006040F">
        <w:rPr>
          <w:szCs w:val="20"/>
        </w:rPr>
        <w:t>Horticulturae</w:t>
      </w:r>
      <w:proofErr w:type="spellEnd"/>
      <w:r w:rsidRPr="0006040F">
        <w:rPr>
          <w:szCs w:val="20"/>
        </w:rPr>
        <w:t xml:space="preserve"> 105, no. 4 (2005): 435-446. https://doi.org/10.1016/j.scienta.2005.02.002</w:t>
      </w:r>
    </w:p>
    <w:p w14:paraId="3FF5BC3D" w14:textId="77777777" w:rsidR="005C3C43" w:rsidRPr="0006040F" w:rsidRDefault="005C3C43" w:rsidP="005C3C43">
      <w:pPr>
        <w:pStyle w:val="Agbodytext"/>
        <w:spacing w:line="240" w:lineRule="atLeast"/>
        <w:rPr>
          <w:szCs w:val="20"/>
        </w:rPr>
      </w:pPr>
      <w:proofErr w:type="spellStart"/>
      <w:r w:rsidRPr="0006040F">
        <w:rPr>
          <w:szCs w:val="20"/>
        </w:rPr>
        <w:t>Gelly</w:t>
      </w:r>
      <w:proofErr w:type="spellEnd"/>
      <w:r w:rsidRPr="0006040F">
        <w:rPr>
          <w:szCs w:val="20"/>
        </w:rPr>
        <w:t xml:space="preserve">, M., </w:t>
      </w:r>
      <w:proofErr w:type="spellStart"/>
      <w:r w:rsidRPr="0006040F">
        <w:rPr>
          <w:szCs w:val="20"/>
        </w:rPr>
        <w:t>Recasens</w:t>
      </w:r>
      <w:proofErr w:type="spellEnd"/>
      <w:r w:rsidRPr="0006040F">
        <w:rPr>
          <w:szCs w:val="20"/>
        </w:rPr>
        <w:t xml:space="preserve">, I., Mata, M., </w:t>
      </w:r>
      <w:proofErr w:type="spellStart"/>
      <w:r w:rsidRPr="0006040F">
        <w:rPr>
          <w:szCs w:val="20"/>
        </w:rPr>
        <w:t>Arbones</w:t>
      </w:r>
      <w:proofErr w:type="spellEnd"/>
      <w:r w:rsidRPr="0006040F">
        <w:rPr>
          <w:szCs w:val="20"/>
        </w:rPr>
        <w:t xml:space="preserve">, A., </w:t>
      </w:r>
      <w:proofErr w:type="spellStart"/>
      <w:r w:rsidRPr="0006040F">
        <w:rPr>
          <w:szCs w:val="20"/>
        </w:rPr>
        <w:t>Rufat</w:t>
      </w:r>
      <w:proofErr w:type="spellEnd"/>
      <w:r w:rsidRPr="0006040F">
        <w:rPr>
          <w:szCs w:val="20"/>
        </w:rPr>
        <w:t>, J., Girona, J., &amp; Marsal, J. (2003). Effects of water deficit during stage II of peach fruit development and postharvest on fruit quality and ethylene production. The Journal of Horticultural Science and Biotechnology, 78(3), 324-330. https://doi.org/10.1080/14620316.2003.11511626</w:t>
      </w:r>
    </w:p>
    <w:p w14:paraId="514347C0" w14:textId="77777777" w:rsidR="005C3C43" w:rsidRPr="0006040F" w:rsidRDefault="005C3C43" w:rsidP="005C3C43">
      <w:pPr>
        <w:pStyle w:val="Agbodytext"/>
        <w:spacing w:line="240" w:lineRule="atLeast"/>
        <w:rPr>
          <w:szCs w:val="20"/>
        </w:rPr>
      </w:pPr>
      <w:r w:rsidRPr="0006040F">
        <w:rPr>
          <w:szCs w:val="20"/>
        </w:rPr>
        <w:t xml:space="preserve">Greer, D. H. (2005). Non‐destructive chlorophyll fluorescence and </w:t>
      </w:r>
      <w:proofErr w:type="spellStart"/>
      <w:r w:rsidRPr="0006040F">
        <w:rPr>
          <w:szCs w:val="20"/>
        </w:rPr>
        <w:t>colour</w:t>
      </w:r>
      <w:proofErr w:type="spellEnd"/>
      <w:r w:rsidRPr="0006040F">
        <w:rPr>
          <w:szCs w:val="20"/>
        </w:rPr>
        <w:t xml:space="preserve"> measurements of ‘Braeburn’ and ‘Royal Gala’ apple (Malus domestica) fruit development throughout the growing season. New Zealand Journal of Crop and Horticultural Science, 33(4), 413-421. https://doi.org/10.1080/01140671.2005.9514378</w:t>
      </w:r>
    </w:p>
    <w:p w14:paraId="1D24778E" w14:textId="77777777" w:rsidR="005C3C43" w:rsidRPr="0006040F" w:rsidRDefault="005C3C43" w:rsidP="005C3C43">
      <w:pPr>
        <w:pStyle w:val="Agbodytext"/>
        <w:spacing w:line="240" w:lineRule="atLeast"/>
        <w:rPr>
          <w:szCs w:val="20"/>
        </w:rPr>
      </w:pPr>
      <w:r w:rsidRPr="0006040F">
        <w:rPr>
          <w:szCs w:val="20"/>
        </w:rPr>
        <w:t xml:space="preserve">International </w:t>
      </w:r>
      <w:proofErr w:type="spellStart"/>
      <w:r w:rsidRPr="0006040F">
        <w:rPr>
          <w:szCs w:val="20"/>
        </w:rPr>
        <w:t>Organisation</w:t>
      </w:r>
      <w:proofErr w:type="spellEnd"/>
      <w:r w:rsidRPr="0006040F">
        <w:rPr>
          <w:szCs w:val="20"/>
        </w:rPr>
        <w:t xml:space="preserve"> for </w:t>
      </w:r>
      <w:proofErr w:type="spellStart"/>
      <w:r w:rsidRPr="0006040F">
        <w:rPr>
          <w:szCs w:val="20"/>
        </w:rPr>
        <w:t>Standardisation</w:t>
      </w:r>
      <w:proofErr w:type="spellEnd"/>
      <w:r w:rsidRPr="0006040F">
        <w:rPr>
          <w:szCs w:val="20"/>
        </w:rPr>
        <w:t xml:space="preserve">, (1976). CIE 1976 L*a*b* </w:t>
      </w:r>
      <w:proofErr w:type="spellStart"/>
      <w:r w:rsidRPr="0006040F">
        <w:rPr>
          <w:szCs w:val="20"/>
        </w:rPr>
        <w:t>Colour</w:t>
      </w:r>
      <w:proofErr w:type="spellEnd"/>
      <w:r w:rsidRPr="0006040F">
        <w:rPr>
          <w:szCs w:val="20"/>
        </w:rPr>
        <w:t xml:space="preserve"> Space. (ISO/CIE 11664-4:2019). Geneva, Switzerland</w:t>
      </w:r>
    </w:p>
    <w:p w14:paraId="04307BA2" w14:textId="77777777" w:rsidR="005C3C43" w:rsidRPr="0006040F" w:rsidRDefault="005C3C43" w:rsidP="005C3C43">
      <w:pPr>
        <w:pStyle w:val="Agbodytext"/>
        <w:spacing w:line="240" w:lineRule="atLeast"/>
        <w:rPr>
          <w:szCs w:val="20"/>
        </w:rPr>
      </w:pPr>
      <w:proofErr w:type="spellStart"/>
      <w:r w:rsidRPr="0006040F">
        <w:rPr>
          <w:szCs w:val="20"/>
        </w:rPr>
        <w:t>Luchsinger</w:t>
      </w:r>
      <w:proofErr w:type="spellEnd"/>
      <w:r w:rsidRPr="0006040F">
        <w:rPr>
          <w:szCs w:val="20"/>
        </w:rPr>
        <w:t xml:space="preserve">, L.E. and Walsh, C.S. (1998). Development of an objective and non-destructive harvest maturity index for peaches and nectarines. Acta </w:t>
      </w:r>
      <w:proofErr w:type="spellStart"/>
      <w:r w:rsidRPr="0006040F">
        <w:rPr>
          <w:szCs w:val="20"/>
        </w:rPr>
        <w:t>Hortic</w:t>
      </w:r>
      <w:proofErr w:type="spellEnd"/>
      <w:r w:rsidRPr="0006040F">
        <w:rPr>
          <w:szCs w:val="20"/>
        </w:rPr>
        <w:t>. 465, 679-688. https://doi.org/10.17660/ActaHortic.1998.465.85</w:t>
      </w:r>
    </w:p>
    <w:p w14:paraId="53039FD0" w14:textId="77777777" w:rsidR="005C3C43" w:rsidRPr="0006040F" w:rsidRDefault="005C3C43" w:rsidP="005C3C43">
      <w:pPr>
        <w:pStyle w:val="Agbodytext"/>
        <w:spacing w:line="240" w:lineRule="atLeast"/>
        <w:rPr>
          <w:szCs w:val="20"/>
        </w:rPr>
      </w:pPr>
      <w:r w:rsidRPr="0006040F">
        <w:rPr>
          <w:szCs w:val="20"/>
        </w:rPr>
        <w:t xml:space="preserve">McGuire, R. G. (1992). Reporting of objective color measurements. </w:t>
      </w:r>
      <w:proofErr w:type="spellStart"/>
      <w:r w:rsidRPr="0006040F">
        <w:rPr>
          <w:szCs w:val="20"/>
        </w:rPr>
        <w:t>HortScience</w:t>
      </w:r>
      <w:proofErr w:type="spellEnd"/>
      <w:r w:rsidRPr="0006040F">
        <w:rPr>
          <w:szCs w:val="20"/>
        </w:rPr>
        <w:t>, 27(12), 1254-1255. https://doi.org/10.21273/hortsci.27.12.1254</w:t>
      </w:r>
    </w:p>
    <w:p w14:paraId="4D16BD9D" w14:textId="77777777" w:rsidR="005C3C43" w:rsidRPr="0006040F" w:rsidRDefault="005C3C43" w:rsidP="005C3C43">
      <w:pPr>
        <w:pStyle w:val="Agbodytext"/>
        <w:spacing w:line="240" w:lineRule="atLeast"/>
        <w:rPr>
          <w:szCs w:val="20"/>
        </w:rPr>
      </w:pPr>
      <w:r w:rsidRPr="0006040F">
        <w:rPr>
          <w:szCs w:val="20"/>
        </w:rPr>
        <w:t xml:space="preserve">Nunes, </w:t>
      </w:r>
      <w:proofErr w:type="spellStart"/>
      <w:r w:rsidRPr="0006040F">
        <w:rPr>
          <w:szCs w:val="20"/>
        </w:rPr>
        <w:t>M.C.d.N</w:t>
      </w:r>
      <w:proofErr w:type="spellEnd"/>
      <w:r w:rsidRPr="0006040F">
        <w:rPr>
          <w:szCs w:val="20"/>
        </w:rPr>
        <w:t xml:space="preserve">. (2009). Pome and Stone Fruits. In Color Atlas of Postharvest Quality of Fruits and Vegetables, </w:t>
      </w:r>
      <w:proofErr w:type="spellStart"/>
      <w:r w:rsidRPr="0006040F">
        <w:rPr>
          <w:szCs w:val="20"/>
        </w:rPr>
        <w:t>M.C.d.N</w:t>
      </w:r>
      <w:proofErr w:type="spellEnd"/>
      <w:r w:rsidRPr="0006040F">
        <w:rPr>
          <w:szCs w:val="20"/>
        </w:rPr>
        <w:t xml:space="preserve">. Nunes (Ed.). https://doi.org/10.1002/9780813802947 </w:t>
      </w:r>
    </w:p>
    <w:p w14:paraId="7C74FBB6" w14:textId="77777777" w:rsidR="005C3C43" w:rsidRPr="0006040F" w:rsidRDefault="005C3C43" w:rsidP="005C3C43">
      <w:pPr>
        <w:pStyle w:val="Agbodytext"/>
        <w:spacing w:line="240" w:lineRule="atLeast"/>
        <w:rPr>
          <w:szCs w:val="20"/>
        </w:rPr>
      </w:pPr>
      <w:r w:rsidRPr="0006040F">
        <w:rPr>
          <w:szCs w:val="20"/>
        </w:rPr>
        <w:t xml:space="preserve">O’Connell M.G., and Scalisi, A. (2021). Sensing   fruit   and   tree   performance   under   deficit irrigation in ‘September Bright’ nectarine. Accepted by Acta </w:t>
      </w:r>
      <w:proofErr w:type="spellStart"/>
      <w:r w:rsidRPr="0006040F">
        <w:rPr>
          <w:szCs w:val="20"/>
        </w:rPr>
        <w:t>Horticulturae</w:t>
      </w:r>
      <w:proofErr w:type="spellEnd"/>
      <w:r w:rsidRPr="0006040F">
        <w:rPr>
          <w:szCs w:val="20"/>
        </w:rPr>
        <w:t>.</w:t>
      </w:r>
    </w:p>
    <w:p w14:paraId="4A27807D" w14:textId="77777777" w:rsidR="005C3C43" w:rsidRPr="0006040F" w:rsidRDefault="005C3C43" w:rsidP="005C3C43">
      <w:pPr>
        <w:pStyle w:val="Agbodytext"/>
        <w:spacing w:line="240" w:lineRule="atLeast"/>
        <w:rPr>
          <w:szCs w:val="20"/>
        </w:rPr>
      </w:pPr>
      <w:r w:rsidRPr="0006040F">
        <w:rPr>
          <w:szCs w:val="20"/>
        </w:rPr>
        <w:lastRenderedPageBreak/>
        <w:t xml:space="preserve">Peavey, M., Goodwin, I., McClymont, L., &amp; Chandra, S. (2020). Effect of Shading on Red </w:t>
      </w:r>
      <w:proofErr w:type="spellStart"/>
      <w:r w:rsidRPr="0006040F">
        <w:rPr>
          <w:szCs w:val="20"/>
        </w:rPr>
        <w:t>Colour</w:t>
      </w:r>
      <w:proofErr w:type="spellEnd"/>
      <w:r w:rsidRPr="0006040F">
        <w:rPr>
          <w:szCs w:val="20"/>
        </w:rPr>
        <w:t xml:space="preserve"> and Fruit Quality in Blush Pears “ANP-0118” and “ANP-0131”. Plants, 9(2), 206. https://doi.org/10.3390/plants9020206</w:t>
      </w:r>
    </w:p>
    <w:p w14:paraId="68791685" w14:textId="77777777" w:rsidR="005C3C43" w:rsidRPr="0006040F" w:rsidRDefault="005C3C43" w:rsidP="005C3C43">
      <w:pPr>
        <w:pStyle w:val="Agbodytext"/>
        <w:spacing w:line="240" w:lineRule="atLeast"/>
        <w:rPr>
          <w:szCs w:val="20"/>
        </w:rPr>
      </w:pPr>
      <w:proofErr w:type="spellStart"/>
      <w:r w:rsidRPr="0006040F">
        <w:rPr>
          <w:szCs w:val="20"/>
        </w:rPr>
        <w:t>Ravaglia</w:t>
      </w:r>
      <w:proofErr w:type="spellEnd"/>
      <w:r w:rsidRPr="0006040F">
        <w:rPr>
          <w:szCs w:val="20"/>
        </w:rPr>
        <w:t xml:space="preserve">, D., Espley, R. V., Henry-Kirk, R. A., Andreotti, C., </w:t>
      </w:r>
      <w:proofErr w:type="spellStart"/>
      <w:r w:rsidRPr="0006040F">
        <w:rPr>
          <w:szCs w:val="20"/>
        </w:rPr>
        <w:t>Ziosi</w:t>
      </w:r>
      <w:proofErr w:type="spellEnd"/>
      <w:r w:rsidRPr="0006040F">
        <w:rPr>
          <w:szCs w:val="20"/>
        </w:rPr>
        <w:t>, V., Hellens, R. P., ... &amp; Allan, A. C. (2013). Transcriptional regulation of flavonoid biosynthesis in nectarine (Prunus persica) by a set of R2R3 MYB transcription factors. BMC plant biology, 13(1), 68. https://doi.org/10.1186/1471-2229-13-68</w:t>
      </w:r>
    </w:p>
    <w:p w14:paraId="0861E7BA" w14:textId="77777777" w:rsidR="005C3C43" w:rsidRPr="005C3C43" w:rsidRDefault="005C3C43" w:rsidP="005C3C43">
      <w:pPr>
        <w:pStyle w:val="Agbodytext"/>
        <w:spacing w:line="240" w:lineRule="atLeast"/>
        <w:rPr>
          <w:szCs w:val="20"/>
        </w:rPr>
      </w:pPr>
      <w:r w:rsidRPr="0006040F">
        <w:rPr>
          <w:szCs w:val="20"/>
        </w:rPr>
        <w:t xml:space="preserve">Robertson, J. A., Meredith, F. I., Horvat, R. J., &amp; </w:t>
      </w:r>
      <w:proofErr w:type="spellStart"/>
      <w:r w:rsidRPr="0006040F">
        <w:rPr>
          <w:szCs w:val="20"/>
        </w:rPr>
        <w:t>Senter</w:t>
      </w:r>
      <w:proofErr w:type="spellEnd"/>
      <w:r w:rsidRPr="0006040F">
        <w:rPr>
          <w:szCs w:val="20"/>
        </w:rPr>
        <w:t xml:space="preserve">, S. D. (1990). Effect of cold storage and maturity on the physical and chemical characteristics and volatile constituents of peaches (cv. </w:t>
      </w:r>
      <w:proofErr w:type="spellStart"/>
      <w:r w:rsidRPr="0006040F">
        <w:rPr>
          <w:szCs w:val="20"/>
        </w:rPr>
        <w:t>Cresthaven</w:t>
      </w:r>
      <w:proofErr w:type="spellEnd"/>
      <w:r w:rsidRPr="0006040F">
        <w:rPr>
          <w:szCs w:val="20"/>
        </w:rPr>
        <w:t>). Journal of Agricultural and Food Chemistry, 38(3), 620-624. https://doi.org/10.1021/jf00093a008</w:t>
      </w:r>
    </w:p>
    <w:p w14:paraId="409CD9B8" w14:textId="49481CCC" w:rsidR="00246C16" w:rsidRPr="00AE2A93" w:rsidRDefault="00246C16" w:rsidP="00E32351">
      <w:pPr>
        <w:pStyle w:val="Heading1"/>
        <w:spacing w:line="240" w:lineRule="atLeast"/>
      </w:pPr>
      <w:bookmarkStart w:id="35" w:name="_Toc69979564"/>
      <w:r>
        <w:t>A</w:t>
      </w:r>
      <w:r w:rsidR="005C3C43">
        <w:t>cknowledgements</w:t>
      </w:r>
      <w:bookmarkEnd w:id="35"/>
    </w:p>
    <w:p w14:paraId="0B5A28DB" w14:textId="6ED94C9A" w:rsidR="00937855" w:rsidRPr="005C3C43" w:rsidRDefault="005C3C43" w:rsidP="00E32351">
      <w:pPr>
        <w:spacing w:line="240" w:lineRule="atLeast"/>
        <w:rPr>
          <w:color w:val="auto"/>
          <w:szCs w:val="20"/>
        </w:rPr>
      </w:pPr>
      <w:r w:rsidRPr="005C3C43">
        <w:rPr>
          <w:color w:val="auto"/>
          <w:szCs w:val="20"/>
        </w:rPr>
        <w:t xml:space="preserve">This study was a component of the project "Deploying real-time sensors to meet Summerfruit export requirements" </w:t>
      </w:r>
      <w:r w:rsidR="00C84E25">
        <w:t xml:space="preserve">a joint venture between Agriculture Victoria, </w:t>
      </w:r>
      <w:r w:rsidR="00C84E25">
        <w:rPr>
          <w:szCs w:val="20"/>
        </w:rPr>
        <w:t xml:space="preserve">the </w:t>
      </w:r>
      <w:r w:rsidR="00C84E25" w:rsidRPr="009A4DF4">
        <w:rPr>
          <w:szCs w:val="20"/>
        </w:rPr>
        <w:t xml:space="preserve">Summerfruit </w:t>
      </w:r>
      <w:r w:rsidR="00C84E25">
        <w:rPr>
          <w:szCs w:val="20"/>
        </w:rPr>
        <w:t>I</w:t>
      </w:r>
      <w:r w:rsidR="00C84E25" w:rsidRPr="009A4DF4">
        <w:rPr>
          <w:szCs w:val="20"/>
        </w:rPr>
        <w:t>ndustry, RMIT University</w:t>
      </w:r>
      <w:r w:rsidR="00C84E25">
        <w:rPr>
          <w:szCs w:val="20"/>
        </w:rPr>
        <w:t xml:space="preserve"> and two Ag Tech companies </w:t>
      </w:r>
      <w:r w:rsidR="00C84E25">
        <w:rPr>
          <w:rFonts w:cs="Calibri"/>
          <w:szCs w:val="20"/>
        </w:rPr>
        <w:t>—</w:t>
      </w:r>
      <w:r w:rsidR="00C84E25" w:rsidRPr="009A4DF4">
        <w:rPr>
          <w:szCs w:val="20"/>
        </w:rPr>
        <w:t xml:space="preserve"> Green Atlas and Rubens Technologies</w:t>
      </w:r>
      <w:r w:rsidR="00C84E25">
        <w:rPr>
          <w:szCs w:val="20"/>
        </w:rPr>
        <w:t xml:space="preserve"> Pty Ltd. The project was </w:t>
      </w:r>
      <w:r w:rsidRPr="005C3C43">
        <w:rPr>
          <w:color w:val="auto"/>
          <w:szCs w:val="20"/>
        </w:rPr>
        <w:t>financially supported by the Food Agility CRC through the Australian Commonwealth Government CRC Program with co-investment from Agriculture Victoria, Summerfruit Australia Limited and RMIT University</w:t>
      </w:r>
      <w:r w:rsidR="00937855" w:rsidRPr="005C3C43">
        <w:rPr>
          <w:color w:val="auto"/>
          <w:szCs w:val="20"/>
        </w:rPr>
        <w:t>.</w:t>
      </w:r>
    </w:p>
    <w:p w14:paraId="741D3DE5" w14:textId="77777777" w:rsidR="005C3C43" w:rsidRPr="007235F9" w:rsidRDefault="005C3C43" w:rsidP="00E32351">
      <w:pPr>
        <w:spacing w:line="240" w:lineRule="atLeast"/>
        <w:rPr>
          <w:color w:val="FF0000"/>
          <w:szCs w:val="20"/>
        </w:rPr>
      </w:pPr>
    </w:p>
    <w:sectPr w:rsidR="005C3C43" w:rsidRPr="007235F9" w:rsidSect="003C7022">
      <w:headerReference w:type="default" r:id="rId25"/>
      <w:footerReference w:type="default" r:id="rId26"/>
      <w:type w:val="continuous"/>
      <w:pgSz w:w="11900" w:h="16840"/>
      <w:pgMar w:top="1720"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FB9EE" w14:textId="77777777" w:rsidR="00AA698B" w:rsidRDefault="00AA698B" w:rsidP="008954B2">
      <w:r>
        <w:separator/>
      </w:r>
    </w:p>
  </w:endnote>
  <w:endnote w:type="continuationSeparator" w:id="0">
    <w:p w14:paraId="2B93356E" w14:textId="77777777" w:rsidR="00AA698B" w:rsidRDefault="00AA698B"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ExtraLight">
    <w:altName w:val="Times New Roman"/>
    <w:charset w:val="00"/>
    <w:family w:val="auto"/>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1152574"/>
      <w:docPartObj>
        <w:docPartGallery w:val="Page Numbers (Bottom of Page)"/>
        <w:docPartUnique/>
      </w:docPartObj>
    </w:sdtPr>
    <w:sdtEndPr>
      <w:rPr>
        <w:noProof/>
      </w:rPr>
    </w:sdtEndPr>
    <w:sdtContent>
      <w:p w14:paraId="6B6CE6F1" w14:textId="723CE09F" w:rsidR="00CF2DC3" w:rsidRDefault="00CF2DC3" w:rsidP="00D55005">
        <w:pPr>
          <w:pStyle w:val="Footer"/>
        </w:pPr>
        <w:r>
          <w:fldChar w:fldCharType="begin"/>
        </w:r>
        <w:r>
          <w:instrText xml:space="preserve"> PAGE   \* MERGEFORMAT </w:instrText>
        </w:r>
        <w:r>
          <w:fldChar w:fldCharType="separate"/>
        </w:r>
        <w:r>
          <w:rPr>
            <w:noProof/>
          </w:rPr>
          <w:t>2</w:t>
        </w:r>
        <w:r>
          <w:rPr>
            <w:noProof/>
          </w:rPr>
          <w:fldChar w:fldCharType="end"/>
        </w:r>
        <w:r>
          <w:rPr>
            <w:noProof/>
          </w:rPr>
          <w:tab/>
        </w:r>
        <w:bookmarkStart w:id="1" w:name="_Hlk69824155"/>
        <w:r>
          <w:rPr>
            <w:noProof/>
          </w:rPr>
          <w:t>Field testing the accuracy of handheld colourimeter</w:t>
        </w:r>
      </w:p>
    </w:sdtContent>
  </w:sdt>
  <w:bookmarkEnd w:id="1"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53DB3" w14:textId="7158E7CD" w:rsidR="00CF2DC3" w:rsidRDefault="00CF2DC3" w:rsidP="00700AB4">
    <w:pPr>
      <w:pStyle w:val="Footer"/>
      <w:spacing w:before="720"/>
      <w:ind w:firstLine="720"/>
    </w:pPr>
    <w:r w:rsidRPr="005A6B32">
      <w:rPr>
        <w:noProof/>
        <w:lang w:eastAsia="en-AU"/>
      </w:rPr>
      <w:drawing>
        <wp:anchor distT="0" distB="0" distL="114300" distR="114300" simplePos="0" relativeHeight="251625955" behindDoc="1" locked="0" layoutInCell="1" allowOverlap="1" wp14:anchorId="6BDB3AA6" wp14:editId="6A3D4859">
          <wp:simplePos x="0" y="0"/>
          <wp:positionH relativeFrom="column">
            <wp:posOffset>-102553</wp:posOffset>
          </wp:positionH>
          <wp:positionV relativeFrom="paragraph">
            <wp:posOffset>-3794442</wp:posOffset>
          </wp:positionV>
          <wp:extent cx="6064051" cy="5219791"/>
          <wp:effectExtent l="2858" t="0" r="0" b="0"/>
          <wp:wrapNone/>
          <wp:docPr id="9" name="Picture 8">
            <a:extLst xmlns:a="http://schemas.openxmlformats.org/drawingml/2006/main">
              <a:ext uri="{FF2B5EF4-FFF2-40B4-BE49-F238E27FC236}">
                <a16:creationId xmlns:a16="http://schemas.microsoft.com/office/drawing/2014/main" id="{7F84E708-3C6B-4D33-9154-AF95A496B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F84E708-3C6B-4D33-9154-AF95A496B80C}"/>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a:xfrm rot="5400000" flipV="1">
                    <a:off x="0" y="0"/>
                    <a:ext cx="6064051" cy="5219791"/>
                  </a:xfrm>
                  <a:prstGeom prst="rect">
                    <a:avLst/>
                  </a:prstGeom>
                </pic:spPr>
              </pic:pic>
            </a:graphicData>
          </a:graphic>
          <wp14:sizeRelH relativeFrom="page">
            <wp14:pctWidth>0</wp14:pctWidth>
          </wp14:sizeRelH>
          <wp14:sizeRelV relativeFrom="page">
            <wp14:pctHeight>0</wp14:pctHeight>
          </wp14:sizeRelV>
        </wp:anchor>
      </w:drawing>
    </w:r>
    <w:r w:rsidRPr="005A6B32">
      <w:rPr>
        <w:noProof/>
        <w:lang w:eastAsia="en-AU"/>
      </w:rPr>
      <w:drawing>
        <wp:anchor distT="0" distB="0" distL="114300" distR="114300" simplePos="0" relativeHeight="251634155" behindDoc="1" locked="0" layoutInCell="1" allowOverlap="1" wp14:anchorId="4221B0D7" wp14:editId="3981630C">
          <wp:simplePos x="0" y="0"/>
          <wp:positionH relativeFrom="column">
            <wp:posOffset>3807031</wp:posOffset>
          </wp:positionH>
          <wp:positionV relativeFrom="paragraph">
            <wp:posOffset>-277289</wp:posOffset>
          </wp:positionV>
          <wp:extent cx="2442432" cy="1831975"/>
          <wp:effectExtent l="317" t="0" r="0" b="0"/>
          <wp:wrapNone/>
          <wp:docPr id="15" name="Picture 14" descr="A picture containing text, electronics&#10;&#10;Description automatically generated">
            <a:extLst xmlns:a="http://schemas.openxmlformats.org/drawingml/2006/main">
              <a:ext uri="{FF2B5EF4-FFF2-40B4-BE49-F238E27FC236}">
                <a16:creationId xmlns:a16="http://schemas.microsoft.com/office/drawing/2014/main" id="{E4486CE5-2FE4-45F8-83D4-0BA8F328D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 electronics&#10;&#10;Description automatically generated">
                    <a:extLst>
                      <a:ext uri="{FF2B5EF4-FFF2-40B4-BE49-F238E27FC236}">
                        <a16:creationId xmlns:a16="http://schemas.microsoft.com/office/drawing/2014/main" id="{E4486CE5-2FE4-45F8-83D4-0BA8F328DDB5}"/>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rot="5400000">
                    <a:off x="0" y="0"/>
                    <a:ext cx="2451828" cy="183902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5" behindDoc="0" locked="0" layoutInCell="1" allowOverlap="1" wp14:anchorId="3A2CD2B9" wp14:editId="74B3A1B3">
              <wp:simplePos x="0" y="0"/>
              <wp:positionH relativeFrom="column">
                <wp:posOffset>-450215</wp:posOffset>
              </wp:positionH>
              <wp:positionV relativeFrom="paragraph">
                <wp:posOffset>-1002665</wp:posOffset>
              </wp:positionV>
              <wp:extent cx="2849880" cy="2861310"/>
              <wp:effectExtent l="19050" t="19050" r="45720" b="15240"/>
              <wp:wrapNone/>
              <wp:docPr id="1" name="Isosceles Triangle 1"/>
              <wp:cNvGraphicFramePr/>
              <a:graphic xmlns:a="http://schemas.openxmlformats.org/drawingml/2006/main">
                <a:graphicData uri="http://schemas.microsoft.com/office/word/2010/wordprocessingShape">
                  <wps:wsp>
                    <wps:cNvSpPr/>
                    <wps:spPr>
                      <a:xfrm>
                        <a:off x="0" y="0"/>
                        <a:ext cx="2849880" cy="2861310"/>
                      </a:xfrm>
                      <a:prstGeom prst="triangle">
                        <a:avLst/>
                      </a:prstGeom>
                      <a:solidFill>
                        <a:srgbClr val="4A773C"/>
                      </a:solidFill>
                      <a:ln>
                        <a:solidFill>
                          <a:srgbClr val="4A77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F51D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35.45pt;margin-top:-78.95pt;width:224.4pt;height:225.3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" fillcolor="#4a773c" strokecolor="#4a773c" strokeweight="1pt"/>
          </w:pict>
        </mc:Fallback>
      </mc:AlternateContent>
    </w:r>
  </w:p>
  <w:p w14:paraId="71C0C3C5" w14:textId="616CFCCE" w:rsidR="00CF2DC3" w:rsidRDefault="00CF2DC3" w:rsidP="00700AB4">
    <w:pPr>
      <w:tabs>
        <w:tab w:val="left" w:pos="1420"/>
      </w:tabs>
      <w:spacing w:before="1080" w:after="0"/>
      <w:ind w:left="-142" w:right="357"/>
    </w:pPr>
    <w:r>
      <w:rPr>
        <w:noProof/>
      </w:rPr>
      <w:drawing>
        <wp:anchor distT="0" distB="0" distL="114300" distR="114300" simplePos="0" relativeHeight="251661824" behindDoc="0" locked="0" layoutInCell="1" allowOverlap="1" wp14:anchorId="32FE661D" wp14:editId="62E41E5D">
          <wp:simplePos x="0" y="0"/>
          <wp:positionH relativeFrom="column">
            <wp:posOffset>220345</wp:posOffset>
          </wp:positionH>
          <wp:positionV relativeFrom="paragraph">
            <wp:posOffset>290195</wp:posOffset>
          </wp:positionV>
          <wp:extent cx="1454150" cy="43497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4150" cy="43497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5F570" w14:textId="77777777" w:rsidR="00CF2DC3" w:rsidRDefault="00CF2D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871FB" w14:textId="2974B1CA" w:rsidR="00CF2DC3" w:rsidRDefault="00CF2DC3" w:rsidP="00F23FFD">
    <w:pPr>
      <w:pStyle w:val="Footer"/>
      <w:tabs>
        <w:tab w:val="clear" w:pos="9026"/>
      </w:tabs>
      <w:jc w:val="right"/>
    </w:pPr>
    <w:r>
      <w:tab/>
    </w:r>
    <w:sdt>
      <w:sdtPr>
        <w:id w:val="21211042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E3634" w14:textId="2FFA17E6" w:rsidR="00CF2DC3" w:rsidRDefault="00CF2DC3">
    <w:pPr>
      <w:pStyle w:val="Footer"/>
      <w:jc w:val="right"/>
    </w:pPr>
    <w:r>
      <w:tab/>
    </w:r>
    <w:sdt>
      <w:sdtPr>
        <w:id w:val="20977349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926C3" w14:textId="77777777" w:rsidR="00AA698B" w:rsidRDefault="00AA698B" w:rsidP="008954B2">
      <w:r>
        <w:separator/>
      </w:r>
    </w:p>
  </w:footnote>
  <w:footnote w:type="continuationSeparator" w:id="0">
    <w:p w14:paraId="5890681D" w14:textId="77777777" w:rsidR="00AA698B" w:rsidRDefault="00AA698B"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FDB83" w14:textId="362BCE58" w:rsidR="00CF2DC3" w:rsidRPr="003C7022" w:rsidRDefault="00CF2DC3" w:rsidP="003C7022">
    <w:pPr>
      <w:pStyle w:val="Header"/>
    </w:pPr>
    <w:r w:rsidRPr="000C3207">
      <w:rPr>
        <w:i/>
        <w:noProof/>
        <w:color w:val="FFFFFF" w:themeColor="background1"/>
        <w:lang w:val="en-AU" w:eastAsia="en-AU"/>
      </w:rPr>
      <w:drawing>
        <wp:anchor distT="0" distB="0" distL="114300" distR="114300" simplePos="0" relativeHeight="251658752" behindDoc="1" locked="0" layoutInCell="1" allowOverlap="1" wp14:anchorId="1CA564F4" wp14:editId="0D98536E">
          <wp:simplePos x="0" y="0"/>
          <wp:positionH relativeFrom="page">
            <wp:posOffset>-7620</wp:posOffset>
          </wp:positionH>
          <wp:positionV relativeFrom="page">
            <wp:posOffset>7620</wp:posOffset>
          </wp:positionV>
          <wp:extent cx="7560000" cy="923661"/>
          <wp:effectExtent l="0" t="0" r="0" b="0"/>
          <wp:wrapNone/>
          <wp:docPr id="20" name="Picture 2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34295" w14:textId="579F1F7E" w:rsidR="00CF2DC3" w:rsidRDefault="00CF2DC3" w:rsidP="0073493A">
    <w:pPr>
      <w:tabs>
        <w:tab w:val="center" w:pos="5241"/>
      </w:tabs>
      <w:rPr>
        <w:noProof/>
        <w:lang w:val="en-AU" w:eastAsia="en-AU"/>
      </w:rPr>
    </w:pPr>
    <w:r w:rsidRPr="005A6B32">
      <w:rPr>
        <w:noProof/>
        <w:lang w:eastAsia="en-AU"/>
      </w:rPr>
      <w:drawing>
        <wp:anchor distT="0" distB="0" distL="114300" distR="114300" simplePos="0" relativeHeight="251632105" behindDoc="1" locked="0" layoutInCell="1" allowOverlap="1" wp14:anchorId="1E5563D4" wp14:editId="2DF81FD6">
          <wp:simplePos x="0" y="0"/>
          <wp:positionH relativeFrom="column">
            <wp:posOffset>-440690</wp:posOffset>
          </wp:positionH>
          <wp:positionV relativeFrom="paragraph">
            <wp:posOffset>-440690</wp:posOffset>
          </wp:positionV>
          <wp:extent cx="2415425" cy="2495550"/>
          <wp:effectExtent l="0" t="0" r="4445" b="0"/>
          <wp:wrapNone/>
          <wp:docPr id="8" name="Picture 7">
            <a:extLst xmlns:a="http://schemas.openxmlformats.org/drawingml/2006/main">
              <a:ext uri="{FF2B5EF4-FFF2-40B4-BE49-F238E27FC236}">
                <a16:creationId xmlns:a16="http://schemas.microsoft.com/office/drawing/2014/main" id="{FDACDFDA-EAAC-412A-B945-AC1907E9E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DACDFDA-EAAC-412A-B945-AC1907E9E8F3}"/>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a:xfrm>
                    <a:off x="0" y="0"/>
                    <a:ext cx="2420375" cy="2500664"/>
                  </a:xfrm>
                  <a:prstGeom prst="rect">
                    <a:avLst/>
                  </a:prstGeom>
                </pic:spPr>
              </pic:pic>
            </a:graphicData>
          </a:graphic>
          <wp14:sizeRelH relativeFrom="page">
            <wp14:pctWidth>0</wp14:pctWidth>
          </wp14:sizeRelH>
          <wp14:sizeRelV relativeFrom="page">
            <wp14:pctHeight>0</wp14:pctHeight>
          </wp14:sizeRelV>
        </wp:anchor>
      </w:drawing>
    </w:r>
    <w:r w:rsidRPr="005D35C4">
      <w:rPr>
        <w:noProof/>
        <w:lang w:val="en-AU" w:eastAsia="en-AU"/>
      </w:rPr>
      <w:drawing>
        <wp:anchor distT="0" distB="0" distL="114300" distR="114300" simplePos="0" relativeHeight="251662848" behindDoc="1" locked="0" layoutInCell="1" allowOverlap="1" wp14:anchorId="6A8B897B" wp14:editId="0A5ADAB7">
          <wp:simplePos x="0" y="0"/>
          <wp:positionH relativeFrom="page">
            <wp:posOffset>-8890</wp:posOffset>
          </wp:positionH>
          <wp:positionV relativeFrom="page">
            <wp:posOffset>4445</wp:posOffset>
          </wp:positionV>
          <wp:extent cx="7554595" cy="10687050"/>
          <wp:effectExtent l="0" t="0" r="8255" b="0"/>
          <wp:wrapNone/>
          <wp:docPr id="21" name="Picture 2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4595" cy="10687050"/>
                  </a:xfrm>
                  <a:prstGeom prst="rect">
                    <a:avLst/>
                  </a:prstGeom>
                </pic:spPr>
              </pic:pic>
            </a:graphicData>
          </a:graphic>
          <wp14:sizeRelH relativeFrom="margin">
            <wp14:pctWidth>0</wp14:pctWidth>
          </wp14:sizeRelH>
          <wp14:sizeRelV relativeFrom="margin">
            <wp14:pctHeight>0</wp14:pctHeight>
          </wp14:sizeRelV>
        </wp:anchor>
      </w:drawing>
    </w:r>
  </w:p>
  <w:p w14:paraId="5E20E823" w14:textId="2E6AF0A8" w:rsidR="00CF2DC3" w:rsidRDefault="00CF2DC3" w:rsidP="0073493A">
    <w:pPr>
      <w:tabs>
        <w:tab w:val="center" w:pos="5241"/>
      </w:tabs>
    </w:pPr>
    <w:r w:rsidRPr="005A6B32">
      <w:rPr>
        <w:noProof/>
        <w:lang w:eastAsia="en-AU"/>
      </w:rPr>
      <w:drawing>
        <wp:anchor distT="0" distB="0" distL="114300" distR="114300" simplePos="0" relativeHeight="251624930" behindDoc="1" locked="0" layoutInCell="1" allowOverlap="1" wp14:anchorId="59DDD4FB" wp14:editId="0701B7FB">
          <wp:simplePos x="0" y="0"/>
          <wp:positionH relativeFrom="column">
            <wp:posOffset>-450215</wp:posOffset>
          </wp:positionH>
          <wp:positionV relativeFrom="paragraph">
            <wp:posOffset>1677035</wp:posOffset>
          </wp:positionV>
          <wp:extent cx="5605231" cy="5781675"/>
          <wp:effectExtent l="0" t="0" r="0" b="0"/>
          <wp:wrapNone/>
          <wp:docPr id="2" name="Picture 6">
            <a:extLst xmlns:a="http://schemas.openxmlformats.org/drawingml/2006/main">
              <a:ext uri="{FF2B5EF4-FFF2-40B4-BE49-F238E27FC236}">
                <a16:creationId xmlns:a16="http://schemas.microsoft.com/office/drawing/2014/main" id="{5203D13D-9C2E-4217-8F2D-8946FABA0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203D13D-9C2E-4217-8F2D-8946FABA0FD6}"/>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5605231" cy="5781675"/>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BF738" w14:textId="77777777" w:rsidR="00CF2DC3" w:rsidRDefault="00CF2D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C14F5" w14:textId="092F3A7B" w:rsidR="00CF2DC3" w:rsidRPr="00CE6B4A" w:rsidRDefault="00CF2DC3" w:rsidP="00CE6B4A">
    <w:pPr>
      <w:tabs>
        <w:tab w:val="center" w:pos="5241"/>
        <w:tab w:val="left" w:pos="5820"/>
        <w:tab w:val="left" w:pos="8980"/>
      </w:tabs>
      <w:spacing w:before="240" w:line="240" w:lineRule="auto"/>
      <w:ind w:right="-608"/>
      <w:jc w:val="right"/>
      <w:rPr>
        <w:i/>
        <w:color w:val="FFFFFF" w:themeColor="background1"/>
      </w:rPr>
    </w:pPr>
    <w:r w:rsidRPr="00CE6B4A">
      <w:rPr>
        <w:i/>
        <w:noProof/>
        <w:color w:val="FFFFFF" w:themeColor="background1"/>
        <w:lang w:val="en-AU" w:eastAsia="en-AU"/>
      </w:rPr>
      <w:drawing>
        <wp:anchor distT="0" distB="0" distL="114300" distR="114300" simplePos="0" relativeHeight="251659776" behindDoc="1" locked="0" layoutInCell="1" allowOverlap="1" wp14:anchorId="0813623A" wp14:editId="0828FBAF">
          <wp:simplePos x="0" y="0"/>
          <wp:positionH relativeFrom="page">
            <wp:posOffset>0</wp:posOffset>
          </wp:positionH>
          <wp:positionV relativeFrom="page">
            <wp:posOffset>20569</wp:posOffset>
          </wp:positionV>
          <wp:extent cx="7560000" cy="923661"/>
          <wp:effectExtent l="0" t="0" r="0" b="0"/>
          <wp:wrapNone/>
          <wp:docPr id="306" name="Picture 30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90D49" w14:textId="6666DB0B" w:rsidR="00CF2DC3" w:rsidRPr="00CE6B4A" w:rsidRDefault="00CF2DC3" w:rsidP="00CE6B4A">
    <w:pPr>
      <w:spacing w:before="240" w:line="240" w:lineRule="auto"/>
      <w:ind w:right="-608"/>
      <w:jc w:val="right"/>
      <w:rPr>
        <w:i/>
        <w:color w:val="FFFFFF" w:themeColor="background1"/>
      </w:rPr>
    </w:pPr>
    <w:r w:rsidRPr="00CE6B4A">
      <w:rPr>
        <w:i/>
        <w:noProof/>
        <w:color w:val="FFFFFF" w:themeColor="background1"/>
        <w:lang w:val="en-AU" w:eastAsia="en-AU"/>
      </w:rPr>
      <w:drawing>
        <wp:anchor distT="0" distB="0" distL="114300" distR="114300" simplePos="0" relativeHeight="251657728" behindDoc="1" locked="0" layoutInCell="1" allowOverlap="1" wp14:anchorId="6E04B2E3" wp14:editId="2BC64873">
          <wp:simplePos x="0" y="0"/>
          <wp:positionH relativeFrom="page">
            <wp:posOffset>0</wp:posOffset>
          </wp:positionH>
          <wp:positionV relativeFrom="page">
            <wp:posOffset>20569</wp:posOffset>
          </wp:positionV>
          <wp:extent cx="7560000" cy="923661"/>
          <wp:effectExtent l="0" t="0" r="0" b="0"/>
          <wp:wrapNone/>
          <wp:docPr id="302" name="Picture 30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1C46C10"/>
    <w:multiLevelType w:val="hybridMultilevel"/>
    <w:tmpl w:val="D4F8E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DB77491"/>
    <w:multiLevelType w:val="hybridMultilevel"/>
    <w:tmpl w:val="E09C840E"/>
    <w:lvl w:ilvl="0" w:tplc="6BC281C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334A14"/>
    <w:multiLevelType w:val="hybridMultilevel"/>
    <w:tmpl w:val="65A6F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AD72CD"/>
    <w:multiLevelType w:val="hybridMultilevel"/>
    <w:tmpl w:val="FD10FB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5"/>
  </w:num>
  <w:num w:numId="14">
    <w:abstractNumId w:val="14"/>
  </w:num>
  <w:num w:numId="15">
    <w:abstractNumId w:val="13"/>
  </w:num>
  <w:num w:numId="16">
    <w:abstractNumId w:val="16"/>
  </w:num>
  <w:num w:numId="17">
    <w:abstractNumId w:val="1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US" w:vendorID="64" w:dllVersion="0" w:nlCheck="1" w:checkStyle="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66CB"/>
    <w:rsid w:val="0002784E"/>
    <w:rsid w:val="000356FF"/>
    <w:rsid w:val="0004339D"/>
    <w:rsid w:val="00044589"/>
    <w:rsid w:val="00051E50"/>
    <w:rsid w:val="00055C19"/>
    <w:rsid w:val="0006040F"/>
    <w:rsid w:val="000630B0"/>
    <w:rsid w:val="0007764E"/>
    <w:rsid w:val="00082408"/>
    <w:rsid w:val="00082A8C"/>
    <w:rsid w:val="000910BD"/>
    <w:rsid w:val="000B0279"/>
    <w:rsid w:val="000B3FA6"/>
    <w:rsid w:val="000B517A"/>
    <w:rsid w:val="000C35AB"/>
    <w:rsid w:val="000F6F62"/>
    <w:rsid w:val="001251F3"/>
    <w:rsid w:val="001323E0"/>
    <w:rsid w:val="00133657"/>
    <w:rsid w:val="00141840"/>
    <w:rsid w:val="001731CD"/>
    <w:rsid w:val="001737A3"/>
    <w:rsid w:val="00180AE6"/>
    <w:rsid w:val="00183402"/>
    <w:rsid w:val="0019645A"/>
    <w:rsid w:val="001A2960"/>
    <w:rsid w:val="001C3F77"/>
    <w:rsid w:val="001F02E8"/>
    <w:rsid w:val="00202E7B"/>
    <w:rsid w:val="00206988"/>
    <w:rsid w:val="00243A05"/>
    <w:rsid w:val="00246C16"/>
    <w:rsid w:val="00253B42"/>
    <w:rsid w:val="00257C7B"/>
    <w:rsid w:val="00261E05"/>
    <w:rsid w:val="00262770"/>
    <w:rsid w:val="00275313"/>
    <w:rsid w:val="002B0C9A"/>
    <w:rsid w:val="002B45B9"/>
    <w:rsid w:val="002F4E40"/>
    <w:rsid w:val="002F52EF"/>
    <w:rsid w:val="00306B4E"/>
    <w:rsid w:val="00307CE8"/>
    <w:rsid w:val="00320B43"/>
    <w:rsid w:val="00321F07"/>
    <w:rsid w:val="00323B2F"/>
    <w:rsid w:val="00330E7D"/>
    <w:rsid w:val="003342CE"/>
    <w:rsid w:val="00340C5D"/>
    <w:rsid w:val="0036138F"/>
    <w:rsid w:val="003857DD"/>
    <w:rsid w:val="00397B9B"/>
    <w:rsid w:val="003A0AFB"/>
    <w:rsid w:val="003A0C46"/>
    <w:rsid w:val="003A2768"/>
    <w:rsid w:val="003A36A6"/>
    <w:rsid w:val="003A63C5"/>
    <w:rsid w:val="003B79F8"/>
    <w:rsid w:val="003C2E56"/>
    <w:rsid w:val="003C3820"/>
    <w:rsid w:val="003C4A74"/>
    <w:rsid w:val="003C6C68"/>
    <w:rsid w:val="003C7022"/>
    <w:rsid w:val="003D032C"/>
    <w:rsid w:val="003E0A4E"/>
    <w:rsid w:val="003E52E2"/>
    <w:rsid w:val="003E59F9"/>
    <w:rsid w:val="003F24C6"/>
    <w:rsid w:val="003F6A0C"/>
    <w:rsid w:val="00400D2F"/>
    <w:rsid w:val="00403238"/>
    <w:rsid w:val="00404310"/>
    <w:rsid w:val="00405312"/>
    <w:rsid w:val="0040766B"/>
    <w:rsid w:val="00416217"/>
    <w:rsid w:val="00445648"/>
    <w:rsid w:val="0045074D"/>
    <w:rsid w:val="00474925"/>
    <w:rsid w:val="0047692D"/>
    <w:rsid w:val="00480133"/>
    <w:rsid w:val="004A2968"/>
    <w:rsid w:val="004B423A"/>
    <w:rsid w:val="004C5B38"/>
    <w:rsid w:val="004D0E83"/>
    <w:rsid w:val="004E29B4"/>
    <w:rsid w:val="004E590A"/>
    <w:rsid w:val="004F20A1"/>
    <w:rsid w:val="00505548"/>
    <w:rsid w:val="00560568"/>
    <w:rsid w:val="005715B8"/>
    <w:rsid w:val="00582192"/>
    <w:rsid w:val="00590E4A"/>
    <w:rsid w:val="005A0417"/>
    <w:rsid w:val="005A6B32"/>
    <w:rsid w:val="005C02FB"/>
    <w:rsid w:val="005C3C43"/>
    <w:rsid w:val="005D35C4"/>
    <w:rsid w:val="005D37DA"/>
    <w:rsid w:val="005D6D23"/>
    <w:rsid w:val="005D735D"/>
    <w:rsid w:val="005E07E2"/>
    <w:rsid w:val="005E1C04"/>
    <w:rsid w:val="006103C1"/>
    <w:rsid w:val="00624BBC"/>
    <w:rsid w:val="00627D68"/>
    <w:rsid w:val="00632C8A"/>
    <w:rsid w:val="006351F3"/>
    <w:rsid w:val="00641571"/>
    <w:rsid w:val="00651678"/>
    <w:rsid w:val="006522BA"/>
    <w:rsid w:val="00652BDD"/>
    <w:rsid w:val="0066292A"/>
    <w:rsid w:val="00667D31"/>
    <w:rsid w:val="00694091"/>
    <w:rsid w:val="006A6409"/>
    <w:rsid w:val="006B2EB0"/>
    <w:rsid w:val="006C5529"/>
    <w:rsid w:val="006D07C3"/>
    <w:rsid w:val="006F46AD"/>
    <w:rsid w:val="00700AB4"/>
    <w:rsid w:val="007148AF"/>
    <w:rsid w:val="007219EC"/>
    <w:rsid w:val="0072525E"/>
    <w:rsid w:val="0073493A"/>
    <w:rsid w:val="0073577E"/>
    <w:rsid w:val="0074385E"/>
    <w:rsid w:val="00751115"/>
    <w:rsid w:val="0076002F"/>
    <w:rsid w:val="0076187E"/>
    <w:rsid w:val="00763A68"/>
    <w:rsid w:val="00775C11"/>
    <w:rsid w:val="00792085"/>
    <w:rsid w:val="007A5C57"/>
    <w:rsid w:val="007C0082"/>
    <w:rsid w:val="007D32A3"/>
    <w:rsid w:val="007E2546"/>
    <w:rsid w:val="007E709F"/>
    <w:rsid w:val="007F610A"/>
    <w:rsid w:val="008279BF"/>
    <w:rsid w:val="00833E2D"/>
    <w:rsid w:val="0085347A"/>
    <w:rsid w:val="0086129D"/>
    <w:rsid w:val="008650FD"/>
    <w:rsid w:val="0087252A"/>
    <w:rsid w:val="00885B92"/>
    <w:rsid w:val="00886DB5"/>
    <w:rsid w:val="008954A2"/>
    <w:rsid w:val="008954B2"/>
    <w:rsid w:val="00895D28"/>
    <w:rsid w:val="008B7B9E"/>
    <w:rsid w:val="008C3756"/>
    <w:rsid w:val="008C5966"/>
    <w:rsid w:val="008D04F6"/>
    <w:rsid w:val="008D125F"/>
    <w:rsid w:val="008D2A20"/>
    <w:rsid w:val="008D2E0F"/>
    <w:rsid w:val="008D5A4D"/>
    <w:rsid w:val="008E1C8A"/>
    <w:rsid w:val="008E20C8"/>
    <w:rsid w:val="008F113F"/>
    <w:rsid w:val="0092022D"/>
    <w:rsid w:val="0093666F"/>
    <w:rsid w:val="00937855"/>
    <w:rsid w:val="009430A2"/>
    <w:rsid w:val="0094642B"/>
    <w:rsid w:val="00950B55"/>
    <w:rsid w:val="00952206"/>
    <w:rsid w:val="009558E8"/>
    <w:rsid w:val="009620FD"/>
    <w:rsid w:val="009678F9"/>
    <w:rsid w:val="00980445"/>
    <w:rsid w:val="009A6C18"/>
    <w:rsid w:val="009D2F90"/>
    <w:rsid w:val="009D6336"/>
    <w:rsid w:val="009D6A1D"/>
    <w:rsid w:val="009F183A"/>
    <w:rsid w:val="009F1981"/>
    <w:rsid w:val="00A10B43"/>
    <w:rsid w:val="00A1528A"/>
    <w:rsid w:val="00A22E2C"/>
    <w:rsid w:val="00A314C5"/>
    <w:rsid w:val="00A3413C"/>
    <w:rsid w:val="00A47C38"/>
    <w:rsid w:val="00A52D73"/>
    <w:rsid w:val="00A55F62"/>
    <w:rsid w:val="00A5671E"/>
    <w:rsid w:val="00A70375"/>
    <w:rsid w:val="00A70746"/>
    <w:rsid w:val="00A93FB6"/>
    <w:rsid w:val="00AA698B"/>
    <w:rsid w:val="00AB469A"/>
    <w:rsid w:val="00AB66CB"/>
    <w:rsid w:val="00AB7D71"/>
    <w:rsid w:val="00AB7E82"/>
    <w:rsid w:val="00AE78E9"/>
    <w:rsid w:val="00B06D9D"/>
    <w:rsid w:val="00B149BA"/>
    <w:rsid w:val="00B179B3"/>
    <w:rsid w:val="00B276B8"/>
    <w:rsid w:val="00B339BE"/>
    <w:rsid w:val="00B347F1"/>
    <w:rsid w:val="00B43DB8"/>
    <w:rsid w:val="00B47936"/>
    <w:rsid w:val="00B50712"/>
    <w:rsid w:val="00B5588E"/>
    <w:rsid w:val="00BB2E70"/>
    <w:rsid w:val="00BC2526"/>
    <w:rsid w:val="00BC2D00"/>
    <w:rsid w:val="00BC7343"/>
    <w:rsid w:val="00BD58AD"/>
    <w:rsid w:val="00BD601F"/>
    <w:rsid w:val="00C01CFE"/>
    <w:rsid w:val="00C058C4"/>
    <w:rsid w:val="00C14E78"/>
    <w:rsid w:val="00C21C0E"/>
    <w:rsid w:val="00C433B1"/>
    <w:rsid w:val="00C44299"/>
    <w:rsid w:val="00C45B22"/>
    <w:rsid w:val="00C6675C"/>
    <w:rsid w:val="00C73391"/>
    <w:rsid w:val="00C811F2"/>
    <w:rsid w:val="00C84E25"/>
    <w:rsid w:val="00C85827"/>
    <w:rsid w:val="00C86A07"/>
    <w:rsid w:val="00C940C3"/>
    <w:rsid w:val="00CA63CF"/>
    <w:rsid w:val="00CC6379"/>
    <w:rsid w:val="00CC6E7E"/>
    <w:rsid w:val="00CD0EC4"/>
    <w:rsid w:val="00CD566D"/>
    <w:rsid w:val="00CE6B4A"/>
    <w:rsid w:val="00CF0624"/>
    <w:rsid w:val="00CF0856"/>
    <w:rsid w:val="00CF2DC3"/>
    <w:rsid w:val="00CF54FB"/>
    <w:rsid w:val="00D12E27"/>
    <w:rsid w:val="00D33A77"/>
    <w:rsid w:val="00D35680"/>
    <w:rsid w:val="00D35FD8"/>
    <w:rsid w:val="00D55005"/>
    <w:rsid w:val="00D55D23"/>
    <w:rsid w:val="00D6330E"/>
    <w:rsid w:val="00D9542A"/>
    <w:rsid w:val="00DC3C90"/>
    <w:rsid w:val="00DC7BE4"/>
    <w:rsid w:val="00DE4095"/>
    <w:rsid w:val="00DF01D4"/>
    <w:rsid w:val="00DF0C7A"/>
    <w:rsid w:val="00DF17B4"/>
    <w:rsid w:val="00E03199"/>
    <w:rsid w:val="00E0338C"/>
    <w:rsid w:val="00E065B8"/>
    <w:rsid w:val="00E12D18"/>
    <w:rsid w:val="00E176FC"/>
    <w:rsid w:val="00E21EE4"/>
    <w:rsid w:val="00E32351"/>
    <w:rsid w:val="00E5483C"/>
    <w:rsid w:val="00E55B1A"/>
    <w:rsid w:val="00E565FB"/>
    <w:rsid w:val="00E713AB"/>
    <w:rsid w:val="00E833BA"/>
    <w:rsid w:val="00E836FB"/>
    <w:rsid w:val="00E83AAA"/>
    <w:rsid w:val="00EA2186"/>
    <w:rsid w:val="00EB520C"/>
    <w:rsid w:val="00EC56EC"/>
    <w:rsid w:val="00ED1E77"/>
    <w:rsid w:val="00ED4ADE"/>
    <w:rsid w:val="00EE1C8C"/>
    <w:rsid w:val="00EE7663"/>
    <w:rsid w:val="00EF3DC4"/>
    <w:rsid w:val="00EF7E14"/>
    <w:rsid w:val="00F069A0"/>
    <w:rsid w:val="00F077DE"/>
    <w:rsid w:val="00F100DA"/>
    <w:rsid w:val="00F15010"/>
    <w:rsid w:val="00F23FFD"/>
    <w:rsid w:val="00F42C67"/>
    <w:rsid w:val="00F4736E"/>
    <w:rsid w:val="00F4739C"/>
    <w:rsid w:val="00F538FD"/>
    <w:rsid w:val="00F60988"/>
    <w:rsid w:val="00F63690"/>
    <w:rsid w:val="00F65C80"/>
    <w:rsid w:val="00F7492C"/>
    <w:rsid w:val="00F841C6"/>
    <w:rsid w:val="00FA2B45"/>
    <w:rsid w:val="00FA5D66"/>
    <w:rsid w:val="00FA7A6C"/>
    <w:rsid w:val="00FD3AD5"/>
    <w:rsid w:val="00FD4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3589A"/>
  <w15:docId w15:val="{B474775B-1089-4898-8758-184BC957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BDD"/>
    <w:pPr>
      <w:spacing w:after="120" w:line="220" w:lineRule="exact"/>
    </w:pPr>
    <w:rPr>
      <w:rFonts w:cs="VIC-SemiBold"/>
      <w:color w:val="000000" w:themeColor="text1"/>
      <w:sz w:val="20"/>
      <w:szCs w:val="52"/>
    </w:rPr>
  </w:style>
  <w:style w:type="paragraph" w:styleId="Heading1">
    <w:name w:val="heading 1"/>
    <w:basedOn w:val="Normal"/>
    <w:next w:val="Normal"/>
    <w:link w:val="Heading1Char"/>
    <w:uiPriority w:val="9"/>
    <w:qFormat/>
    <w:rsid w:val="00206988"/>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4">
    <w:name w:val="heading 4"/>
    <w:basedOn w:val="Normal"/>
    <w:next w:val="Normal"/>
    <w:link w:val="Heading4Char"/>
    <w:uiPriority w:val="9"/>
    <w:unhideWhenUsed/>
    <w:qFormat/>
    <w:rsid w:val="00246C16"/>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988"/>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F65C80"/>
    <w:rPr>
      <w:color w:val="0563C1" w:themeColor="hyperlink"/>
      <w:u w:val="single"/>
    </w:r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accessibilityheading">
    <w:name w:val="Ag accessibility heading"/>
    <w:basedOn w:val="Heading2"/>
    <w:qFormat/>
    <w:rsid w:val="0004339D"/>
    <w:pPr>
      <w:spacing w:before="120"/>
    </w:pPr>
  </w:style>
  <w:style w:type="paragraph" w:customStyle="1" w:styleId="Agbodytext">
    <w:name w:val="Ag body text"/>
    <w:basedOn w:val="Normal"/>
    <w:qFormat/>
    <w:rsid w:val="0004339D"/>
  </w:style>
  <w:style w:type="paragraph" w:customStyle="1" w:styleId="Agcontentsheading">
    <w:name w:val="Ag contents heading"/>
    <w:basedOn w:val="Normal"/>
    <w:qFormat/>
    <w:rsid w:val="004D0E83"/>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404310"/>
    <w:pPr>
      <w:tabs>
        <w:tab w:val="right" w:leader="dot" w:pos="9072"/>
      </w:tabs>
      <w:spacing w:after="0" w:line="360" w:lineRule="auto"/>
      <w:ind w:right="386"/>
    </w:pPr>
    <w:rPr>
      <w:rFonts w:cstheme="minorBidi"/>
      <w:b/>
      <w:noProof/>
      <w:color w:val="auto"/>
      <w:szCs w:val="24"/>
    </w:rPr>
  </w:style>
  <w:style w:type="paragraph" w:styleId="TOC2">
    <w:name w:val="toc 2"/>
    <w:basedOn w:val="TOC1"/>
    <w:next w:val="Normal"/>
    <w:autoRedefine/>
    <w:uiPriority w:val="39"/>
    <w:unhideWhenUsed/>
    <w:rsid w:val="00404310"/>
  </w:style>
  <w:style w:type="paragraph" w:styleId="TOC3">
    <w:name w:val="toc 3"/>
    <w:basedOn w:val="TOC2"/>
    <w:next w:val="Normal"/>
    <w:autoRedefine/>
    <w:uiPriority w:val="39"/>
    <w:unhideWhenUsed/>
    <w:rsid w:val="00404310"/>
  </w:style>
  <w:style w:type="paragraph" w:styleId="TOC4">
    <w:name w:val="toc 4"/>
    <w:basedOn w:val="TOC3"/>
    <w:next w:val="Normal"/>
    <w:autoRedefine/>
    <w:uiPriority w:val="39"/>
    <w:unhideWhenUsed/>
    <w:rsid w:val="00404310"/>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59"/>
    <w:rsid w:val="008D2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dividertitle">
    <w:name w:val="Ag divider title"/>
    <w:basedOn w:val="Normal"/>
    <w:qFormat/>
    <w:rsid w:val="00F538FD"/>
    <w:pPr>
      <w:spacing w:after="0" w:line="480" w:lineRule="exact"/>
      <w:ind w:left="4678"/>
    </w:pPr>
    <w:rPr>
      <w:rFonts w:cstheme="minorBidi"/>
      <w:caps/>
      <w:color w:val="FFFFFF" w:themeColor="background1"/>
      <w:sz w:val="48"/>
      <w:szCs w:val="24"/>
      <w:lang w:val="en-AU"/>
    </w:rPr>
  </w:style>
  <w:style w:type="paragraph" w:customStyle="1" w:styleId="Agcovertitle">
    <w:name w:val="Ag cover title"/>
    <w:basedOn w:val="Normal"/>
    <w:next w:val="Agcovertitle2"/>
    <w:qFormat/>
    <w:rsid w:val="0004339D"/>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04339D"/>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bodytextred">
    <w:name w:val="Ag body text red"/>
    <w:basedOn w:val="Agbodytext"/>
    <w:qFormat/>
    <w:rsid w:val="0004339D"/>
    <w:rPr>
      <w:color w:val="FF0000"/>
    </w:rPr>
  </w:style>
  <w:style w:type="paragraph" w:customStyle="1" w:styleId="Agbulletlist">
    <w:name w:val="Ag bullet list"/>
    <w:basedOn w:val="Normal"/>
    <w:qFormat/>
    <w:rsid w:val="0004339D"/>
    <w:pPr>
      <w:numPr>
        <w:numId w:val="13"/>
      </w:numPr>
    </w:pPr>
  </w:style>
  <w:style w:type="paragraph" w:customStyle="1" w:styleId="instructions">
    <w:name w:val="instructions"/>
    <w:basedOn w:val="Normal"/>
    <w:link w:val="instructionsChar"/>
    <w:qFormat/>
    <w:rsid w:val="008D125F"/>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8D125F"/>
    <w:rPr>
      <w:rFonts w:ascii="Arial" w:eastAsia="Times New Roman" w:hAnsi="Arial" w:cs="Times New Roman"/>
      <w:color w:val="ED7D31" w:themeColor="accent2"/>
      <w:sz w:val="18"/>
      <w:szCs w:val="20"/>
      <w:lang w:val="en-AU"/>
    </w:rPr>
  </w:style>
  <w:style w:type="character" w:customStyle="1" w:styleId="Heading4Char">
    <w:name w:val="Heading 4 Char"/>
    <w:basedOn w:val="DefaultParagraphFont"/>
    <w:link w:val="Heading4"/>
    <w:uiPriority w:val="9"/>
    <w:rsid w:val="00246C16"/>
    <w:rPr>
      <w:rFonts w:asciiTheme="majorHAnsi" w:eastAsiaTheme="majorEastAsia" w:hAnsiTheme="majorHAnsi" w:cstheme="majorBidi"/>
      <w:b/>
      <w:bCs/>
      <w:i/>
      <w:iCs/>
      <w:color w:val="5B9BD5" w:themeColor="accent1"/>
      <w:sz w:val="18"/>
      <w:szCs w:val="52"/>
    </w:rPr>
  </w:style>
  <w:style w:type="paragraph" w:customStyle="1" w:styleId="Agdividertext">
    <w:name w:val="Ag divider text"/>
    <w:basedOn w:val="Normal"/>
    <w:next w:val="Normal"/>
    <w:qFormat/>
    <w:rsid w:val="00246C16"/>
    <w:pPr>
      <w:spacing w:after="0" w:line="480" w:lineRule="exact"/>
      <w:ind w:left="4678"/>
    </w:pPr>
    <w:rPr>
      <w:rFonts w:cstheme="minorBidi"/>
      <w:bCs/>
      <w:color w:val="FFFFFF" w:themeColor="background1"/>
      <w:sz w:val="48"/>
      <w:szCs w:val="24"/>
      <w:lang w:val="en-AU"/>
    </w:rPr>
  </w:style>
  <w:style w:type="paragraph" w:customStyle="1" w:styleId="contentfiguresheading">
    <w:name w:val="# content/figures heading"/>
    <w:basedOn w:val="Normal"/>
    <w:link w:val="contentfiguresheadingChar"/>
    <w:qFormat/>
    <w:rsid w:val="00246C16"/>
    <w:pPr>
      <w:spacing w:after="400" w:line="240" w:lineRule="auto"/>
    </w:pPr>
    <w:rPr>
      <w:rFonts w:eastAsia="Times New Roman" w:cs="Times New Roman"/>
      <w:b/>
      <w:caps/>
      <w:color w:val="53565A"/>
      <w:sz w:val="36"/>
      <w:szCs w:val="48"/>
      <w:lang w:val="en-AU"/>
    </w:rPr>
  </w:style>
  <w:style w:type="character" w:customStyle="1" w:styleId="contentfiguresheadingChar">
    <w:name w:val="# content/figures heading Char"/>
    <w:basedOn w:val="DefaultParagraphFont"/>
    <w:link w:val="contentfiguresheading"/>
    <w:rsid w:val="00246C16"/>
    <w:rPr>
      <w:rFonts w:ascii="Arial" w:eastAsia="Times New Roman" w:hAnsi="Arial" w:cs="Times New Roman"/>
      <w:b/>
      <w:caps/>
      <w:color w:val="53565A"/>
      <w:sz w:val="36"/>
      <w:szCs w:val="48"/>
      <w:lang w:val="en-AU"/>
    </w:rPr>
  </w:style>
  <w:style w:type="paragraph" w:customStyle="1" w:styleId="authorisedby">
    <w:name w:val="# authorised by"/>
    <w:basedOn w:val="Normal"/>
    <w:qFormat/>
    <w:rsid w:val="00246C16"/>
    <w:pPr>
      <w:spacing w:before="120" w:line="240" w:lineRule="auto"/>
    </w:pPr>
    <w:rPr>
      <w:rFonts w:cs="Times New Roman"/>
      <w:color w:val="53565A"/>
      <w:szCs w:val="20"/>
      <w:lang w:val="en-AU"/>
    </w:rPr>
  </w:style>
  <w:style w:type="character" w:customStyle="1" w:styleId="InstructionsChar0">
    <w:name w:val="Instructions Char"/>
    <w:link w:val="Instructions0"/>
    <w:rsid w:val="00937855"/>
    <w:rPr>
      <w:rFonts w:ascii="Arial" w:hAnsi="Arial" w:cs="Arial"/>
      <w:color w:val="FF0000"/>
      <w:spacing w:val="-1"/>
      <w:sz w:val="20"/>
      <w:szCs w:val="20"/>
    </w:rPr>
  </w:style>
  <w:style w:type="paragraph" w:customStyle="1" w:styleId="Instructions0">
    <w:name w:val="Instructions"/>
    <w:basedOn w:val="Normal"/>
    <w:link w:val="InstructionsChar0"/>
    <w:autoRedefine/>
    <w:rsid w:val="00937855"/>
    <w:pPr>
      <w:spacing w:after="0" w:line="240" w:lineRule="auto"/>
    </w:pPr>
    <w:rPr>
      <w:rFonts w:cs="Arial"/>
      <w:color w:val="FF0000"/>
      <w:spacing w:val="-1"/>
      <w:szCs w:val="20"/>
    </w:rPr>
  </w:style>
  <w:style w:type="paragraph" w:customStyle="1" w:styleId="Instructionsbold">
    <w:name w:val="Instructions bold"/>
    <w:basedOn w:val="Instructions0"/>
    <w:autoRedefine/>
    <w:rsid w:val="00246C16"/>
    <w:rPr>
      <w:sz w:val="28"/>
    </w:rPr>
  </w:style>
  <w:style w:type="paragraph" w:styleId="ListParagraph">
    <w:name w:val="List Paragraph"/>
    <w:basedOn w:val="Normal"/>
    <w:uiPriority w:val="34"/>
    <w:qFormat/>
    <w:rsid w:val="00A70746"/>
    <w:pPr>
      <w:spacing w:after="0" w:line="240" w:lineRule="auto"/>
      <w:ind w:left="720"/>
      <w:contextualSpacing/>
    </w:pPr>
    <w:rPr>
      <w:rFonts w:eastAsia="Times New Roman" w:cs="Times New Roman"/>
      <w:color w:val="53565A"/>
      <w:szCs w:val="24"/>
      <w:lang w:val="en-AU" w:eastAsia="en-AU"/>
    </w:rPr>
  </w:style>
  <w:style w:type="paragraph" w:customStyle="1" w:styleId="tabletitles">
    <w:name w:val="# table titles"/>
    <w:basedOn w:val="Normal"/>
    <w:qFormat/>
    <w:rsid w:val="00246C16"/>
    <w:pPr>
      <w:spacing w:before="60" w:after="60" w:line="240" w:lineRule="auto"/>
    </w:pPr>
    <w:rPr>
      <w:rFonts w:eastAsia="Times New Roman" w:cs="Arial"/>
      <w:b/>
      <w:color w:val="FFFFFF"/>
      <w:szCs w:val="20"/>
      <w:lang w:val="en-AU" w:eastAsia="en-AU"/>
    </w:rPr>
  </w:style>
  <w:style w:type="paragraph" w:customStyle="1" w:styleId="tabletext">
    <w:name w:val="# table text"/>
    <w:basedOn w:val="Normal"/>
    <w:qFormat/>
    <w:rsid w:val="00246C16"/>
    <w:pPr>
      <w:spacing w:before="60" w:after="60" w:line="240" w:lineRule="auto"/>
    </w:pPr>
    <w:rPr>
      <w:rFonts w:eastAsia="Times New Roman" w:cs="Arial"/>
      <w:color w:val="53565A"/>
      <w:szCs w:val="18"/>
      <w:lang w:val="en-AU" w:eastAsia="en-AU"/>
    </w:rPr>
  </w:style>
  <w:style w:type="paragraph" w:customStyle="1" w:styleId="Figureno">
    <w:name w:val="Figure no."/>
    <w:basedOn w:val="Subtitle"/>
    <w:autoRedefine/>
    <w:rsid w:val="00246C16"/>
    <w:pPr>
      <w:numPr>
        <w:ilvl w:val="0"/>
      </w:numPr>
      <w:spacing w:after="60" w:line="240" w:lineRule="auto"/>
      <w:outlineLvl w:val="1"/>
    </w:pPr>
    <w:rPr>
      <w:rFonts w:ascii="Arial" w:eastAsia="Times New Roman" w:hAnsi="Arial" w:cs="Arial"/>
      <w:i w:val="0"/>
      <w:iCs w:val="0"/>
      <w:color w:val="auto"/>
      <w:spacing w:val="0"/>
      <w:sz w:val="20"/>
      <w:szCs w:val="20"/>
      <w:lang w:val="en-AU" w:eastAsia="en-AU"/>
    </w:rPr>
  </w:style>
  <w:style w:type="paragraph" w:styleId="Subtitle">
    <w:name w:val="Subtitle"/>
    <w:basedOn w:val="Normal"/>
    <w:next w:val="Normal"/>
    <w:link w:val="SubtitleChar"/>
    <w:qFormat/>
    <w:rsid w:val="00246C1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246C16"/>
    <w:rPr>
      <w:rFonts w:asciiTheme="majorHAnsi" w:eastAsiaTheme="majorEastAsia" w:hAnsiTheme="majorHAnsi" w:cstheme="majorBidi"/>
      <w:i/>
      <w:iCs/>
      <w:color w:val="5B9BD5" w:themeColor="accent1"/>
      <w:spacing w:val="15"/>
    </w:rPr>
  </w:style>
  <w:style w:type="paragraph" w:customStyle="1" w:styleId="Body">
    <w:name w:val="_Body"/>
    <w:qFormat/>
    <w:rsid w:val="00A52D73"/>
    <w:pPr>
      <w:spacing w:after="113" w:line="240" w:lineRule="atLeast"/>
    </w:pPr>
    <w:rPr>
      <w:rFonts w:ascii="Arial" w:eastAsia="Times New Roman" w:hAnsi="Arial" w:cs="Arial"/>
      <w:sz w:val="18"/>
      <w:lang w:val="en-AU"/>
    </w:rPr>
  </w:style>
  <w:style w:type="paragraph" w:customStyle="1" w:styleId="HB">
    <w:name w:val="_HB"/>
    <w:next w:val="Body"/>
    <w:uiPriority w:val="2"/>
    <w:qFormat/>
    <w:rsid w:val="0073493A"/>
    <w:pPr>
      <w:spacing w:before="180" w:after="113" w:line="300" w:lineRule="atLeast"/>
      <w:outlineLvl w:val="0"/>
    </w:pPr>
    <w:rPr>
      <w:rFonts w:ascii="Arial" w:eastAsia="Times New Roman" w:hAnsi="Arial" w:cs="Arial"/>
      <w:b/>
      <w:color w:val="F58426"/>
      <w:lang w:val="en-AU"/>
    </w:rPr>
  </w:style>
  <w:style w:type="paragraph" w:styleId="BalloonText">
    <w:name w:val="Balloon Text"/>
    <w:basedOn w:val="Normal"/>
    <w:link w:val="BalloonTextChar"/>
    <w:uiPriority w:val="99"/>
    <w:semiHidden/>
    <w:unhideWhenUsed/>
    <w:rsid w:val="00943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0A2"/>
    <w:rPr>
      <w:rFonts w:ascii="Tahoma" w:hAnsi="Tahoma" w:cs="Tahoma"/>
      <w:color w:val="000000" w:themeColor="text1"/>
      <w:sz w:val="16"/>
      <w:szCs w:val="16"/>
    </w:rPr>
  </w:style>
  <w:style w:type="character" w:styleId="Emphasis">
    <w:name w:val="Emphasis"/>
    <w:basedOn w:val="DefaultParagraphFont"/>
    <w:uiPriority w:val="20"/>
    <w:qFormat/>
    <w:rsid w:val="006103C1"/>
    <w:rPr>
      <w:i/>
      <w:iCs/>
    </w:rPr>
  </w:style>
  <w:style w:type="character" w:styleId="CommentReference">
    <w:name w:val="annotation reference"/>
    <w:semiHidden/>
    <w:qFormat/>
    <w:rsid w:val="00CF2DC3"/>
    <w:rPr>
      <w:sz w:val="16"/>
      <w:szCs w:val="16"/>
    </w:rPr>
  </w:style>
  <w:style w:type="paragraph" w:styleId="CommentText">
    <w:name w:val="annotation text"/>
    <w:basedOn w:val="Normal"/>
    <w:link w:val="CommentTextChar"/>
    <w:semiHidden/>
    <w:qFormat/>
    <w:rsid w:val="00CF2DC3"/>
    <w:pPr>
      <w:spacing w:after="0" w:line="240" w:lineRule="auto"/>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semiHidden/>
    <w:rsid w:val="00CF2DC3"/>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C569C6FDF5F20340BFD2E384A69F2933" ma:contentTypeVersion="21" ma:contentTypeDescription="DEDJTR Document" ma:contentTypeScope="" ma:versionID="da57bd31a176d2a2247b8bdd5965a983">
  <xsd:schema xmlns:xsd="http://www.w3.org/2001/XMLSchema" xmlns:xs="http://www.w3.org/2001/XMLSchema" xmlns:p="http://schemas.microsoft.com/office/2006/metadata/properties" xmlns:ns2="72567383-1e26-4692-bdad-5f5be69e1590" xmlns:ns3="c4694963-941a-490f-9d7a-db7219ead1bf" xmlns:ns4="f00ac280-a3f5-4db3-b38e-259e513fe7bd" targetNamespace="http://schemas.microsoft.com/office/2006/metadata/properties" ma:root="true" ma:fieldsID="45ed4a37bbe6a94f778586a51c0852cf" ns2:_="" ns3:_="" ns4:_="">
    <xsd:import namespace="72567383-1e26-4692-bdad-5f5be69e1590"/>
    <xsd:import namespace="c4694963-941a-490f-9d7a-db7219ead1bf"/>
    <xsd:import namespace="f00ac280-a3f5-4db3-b38e-259e513fe7bd"/>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694963-941a-490f-9d7a-db7219ead1b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c48ef9c-5ef5-4543-8dcb-a502658fb3d5}" ma:internalName="TaxCatchAll" ma:showField="CatchAllData" ma:web="c4694963-941a-490f-9d7a-db7219ead1b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c48ef9c-5ef5-4543-8dcb-a502658fb3d5}" ma:internalName="TaxCatchAllLabel" ma:readOnly="true" ma:showField="CatchAllDataLabel" ma:web="c4694963-941a-490f-9d7a-db7219ead1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0ac280-a3f5-4db3-b38e-259e513fe7b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 Research</TermName>
          <TermId xmlns="http://schemas.microsoft.com/office/infopath/2007/PartnerControls">d7555267-f2f6-4e93-9af3-8aa7d197ffbf</TermId>
        </TermInfo>
      </Terms>
    </be9de15831a746f4b3f0ba041df97669>
    <TaxCatchAll xmlns="c4694963-941a-490f-9d7a-db7219ead1bf">
      <Value>2</Value>
      <Value>1</Value>
    </TaxCatchAll>
  </documentManagement>
</p:properties>
</file>

<file path=customXml/itemProps1.xml><?xml version="1.0" encoding="utf-8"?>
<ds:datastoreItem xmlns:ds="http://schemas.openxmlformats.org/officeDocument/2006/customXml" ds:itemID="{258B980F-44DF-4F12-82CA-16B3C7A94F12}">
  <ds:schemaRefs>
    <ds:schemaRef ds:uri="http://schemas.microsoft.com/sharepoint/v3/contenttype/forms"/>
  </ds:schemaRefs>
</ds:datastoreItem>
</file>

<file path=customXml/itemProps2.xml><?xml version="1.0" encoding="utf-8"?>
<ds:datastoreItem xmlns:ds="http://schemas.openxmlformats.org/officeDocument/2006/customXml" ds:itemID="{153D8920-032A-4BF7-AC59-A79704796C14}">
  <ds:schemaRefs>
    <ds:schemaRef ds:uri="http://schemas.openxmlformats.org/officeDocument/2006/bibliography"/>
  </ds:schemaRefs>
</ds:datastoreItem>
</file>

<file path=customXml/itemProps3.xml><?xml version="1.0" encoding="utf-8"?>
<ds:datastoreItem xmlns:ds="http://schemas.openxmlformats.org/officeDocument/2006/customXml" ds:itemID="{405EF651-8780-4C66-9636-AA7411B36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c4694963-941a-490f-9d7a-db7219ead1bf"/>
    <ds:schemaRef ds:uri="f00ac280-a3f5-4db3-b38e-259e513fe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01B64-EC71-43E4-830B-746B15184FB1}">
  <ds:schemaRefs>
    <ds:schemaRef ds:uri="http://schemas.microsoft.com/office/2006/metadata/properties"/>
    <ds:schemaRef ds:uri="http://schemas.microsoft.com/office/infopath/2007/PartnerControls"/>
    <ds:schemaRef ds:uri="72567383-1e26-4692-bdad-5f5be69e1590"/>
    <ds:schemaRef ds:uri="c4694963-941a-490f-9d7a-db7219ead1bf"/>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3743</Words>
  <Characters>21340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franca morin</dc:creator>
  <cp:lastModifiedBy>Ian Goodwin (DJPR)</cp:lastModifiedBy>
  <cp:revision>5</cp:revision>
  <cp:lastPrinted>2017-11-09T01:32:00Z</cp:lastPrinted>
  <dcterms:created xsi:type="dcterms:W3CDTF">2021-04-20T07:24:00Z</dcterms:created>
  <dcterms:modified xsi:type="dcterms:W3CDTF">2021-04-22T00:25:00Z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5c9247aa-0288-486a-b9c9-cfedec58507c</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y fmtid="{D5CDD505-2E9C-101B-9397-08002B2CF9AE}" pid="6" name="ContentTypeId">
    <vt:lpwstr>0x010100611F6414DFB111E7BA88F9DF1743E31700C569C6FDF5F20340BFD2E384A69F2933</vt:lpwstr>
  </property>
  <property fmtid="{D5CDD505-2E9C-101B-9397-08002B2CF9AE}" pid="7" name="DEDJTRDivision">
    <vt:lpwstr>2;#Agriculture Victoria Research|d7555267-f2f6-4e93-9af3-8aa7d197ffbf</vt:lpwstr>
  </property>
  <property fmtid="{D5CDD505-2E9C-101B-9397-08002B2CF9AE}" pid="8" name="Order">
    <vt:r8>100</vt:r8>
  </property>
  <property fmtid="{D5CDD505-2E9C-101B-9397-08002B2CF9AE}" pid="9" name="DEDJTRGroup">
    <vt:lpwstr>1;#Employment Investment and Trade|55ce1999-68b6-4f37-bdce-009ad410cd2a</vt:lpwstr>
  </property>
  <property fmtid="{D5CDD505-2E9C-101B-9397-08002B2CF9AE}" pid="10" name="DEDJTRSecurityClassification">
    <vt:lpwstr/>
  </property>
  <property fmtid="{D5CDD505-2E9C-101B-9397-08002B2CF9AE}" pid="11" name="DEDJTRBranch">
    <vt:lpwstr/>
  </property>
  <property fmtid="{D5CDD505-2E9C-101B-9397-08002B2CF9AE}" pid="12" name="DEDJTRSection">
    <vt:lpwstr/>
  </property>
  <property fmtid="{D5CDD505-2E9C-101B-9397-08002B2CF9AE}" pid="13" name="AuthorIds_UIVersion_512">
    <vt:lpwstr>164</vt:lpwstr>
  </property>
</Properties>
</file>